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EDB9E" w14:textId="088947AA" w:rsidR="00DC1CD2" w:rsidRPr="00A66DAB" w:rsidRDefault="00DC1CD2" w:rsidP="00DC1CD2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32"/>
          <w:lang w:eastAsia="zh-CN"/>
        </w:rPr>
      </w:pPr>
      <w:r w:rsidRPr="00A66DAB">
        <w:rPr>
          <w:rFonts w:cs="Arial"/>
          <w:sz w:val="24"/>
          <w:lang w:eastAsia="zh-CN"/>
        </w:rPr>
        <w:t>3GPP T</w:t>
      </w:r>
      <w:bookmarkStart w:id="0" w:name="_Ref452454252"/>
      <w:bookmarkEnd w:id="0"/>
      <w:r>
        <w:rPr>
          <w:rFonts w:cs="Arial"/>
          <w:sz w:val="24"/>
          <w:lang w:eastAsia="zh-CN"/>
        </w:rPr>
        <w:t xml:space="preserve">SG RAN WG2 Meeting NR </w:t>
      </w:r>
      <w:r w:rsidR="000B6BDA">
        <w:rPr>
          <w:rFonts w:cs="Arial"/>
          <w:sz w:val="24"/>
          <w:lang w:eastAsia="zh-CN"/>
        </w:rPr>
        <w:t>Ad hoc</w:t>
      </w:r>
      <w:r w:rsidR="000B6BDA" w:rsidRPr="00A66DAB">
        <w:rPr>
          <w:rFonts w:cs="Arial"/>
          <w:bCs/>
          <w:noProof w:val="0"/>
          <w:sz w:val="24"/>
        </w:rPr>
        <w:t xml:space="preserve">                                              </w:t>
      </w:r>
      <w:r w:rsidRPr="008203D8">
        <w:rPr>
          <w:rFonts w:cs="Arial"/>
          <w:bCs/>
          <w:noProof w:val="0"/>
          <w:sz w:val="24"/>
        </w:rPr>
        <w:t>R2-</w:t>
      </w:r>
      <w:r w:rsidR="00195408" w:rsidRPr="008203D8">
        <w:rPr>
          <w:rFonts w:cs="Arial"/>
          <w:bCs/>
          <w:noProof w:val="0"/>
          <w:sz w:val="24"/>
        </w:rPr>
        <w:t>17</w:t>
      </w:r>
      <w:r w:rsidR="00195408">
        <w:rPr>
          <w:rFonts w:cs="Arial"/>
          <w:bCs/>
          <w:noProof w:val="0"/>
          <w:sz w:val="24"/>
        </w:rPr>
        <w:t>07026</w:t>
      </w:r>
    </w:p>
    <w:p w14:paraId="392C34BC" w14:textId="6FF587D8" w:rsidR="00DC1CD2" w:rsidRPr="00A66DAB" w:rsidRDefault="00DC1CD2" w:rsidP="00DC1CD2">
      <w:pPr>
        <w:pStyle w:val="Header"/>
        <w:jc w:val="both"/>
        <w:rPr>
          <w:rFonts w:cs="Arial"/>
          <w:sz w:val="24"/>
          <w:lang w:eastAsia="zh-CN"/>
        </w:rPr>
      </w:pPr>
      <w:r>
        <w:rPr>
          <w:rFonts w:cs="Arial"/>
          <w:sz w:val="24"/>
          <w:szCs w:val="24"/>
          <w:bdr w:val="none" w:sz="0" w:space="0" w:color="auto" w:frame="1"/>
        </w:rPr>
        <w:t>Qingdao, China</w:t>
      </w:r>
      <w:r>
        <w:rPr>
          <w:rFonts w:cs="Arial"/>
          <w:sz w:val="24"/>
          <w:szCs w:val="24"/>
          <w:lang w:eastAsia="zh-CN"/>
        </w:rPr>
        <w:t>,</w:t>
      </w:r>
      <w:r w:rsidRPr="00A66DAB">
        <w:rPr>
          <w:rFonts w:cs="Arial"/>
          <w:sz w:val="24"/>
          <w:lang w:eastAsia="zh-CN"/>
        </w:rPr>
        <w:t xml:space="preserve"> </w:t>
      </w:r>
      <w:r>
        <w:rPr>
          <w:rFonts w:cs="Arial"/>
          <w:sz w:val="24"/>
          <w:lang w:eastAsia="zh-CN"/>
        </w:rPr>
        <w:t>27</w:t>
      </w:r>
      <w:r w:rsidRPr="00E43E99">
        <w:rPr>
          <w:rFonts w:cs="Arial"/>
          <w:sz w:val="24"/>
          <w:vertAlign w:val="superscript"/>
          <w:lang w:eastAsia="zh-CN"/>
        </w:rPr>
        <w:t>th</w:t>
      </w:r>
      <w:r>
        <w:rPr>
          <w:rFonts w:cs="Arial"/>
          <w:sz w:val="24"/>
          <w:lang w:eastAsia="zh-CN"/>
        </w:rPr>
        <w:t xml:space="preserve"> – 29</w:t>
      </w:r>
      <w:r w:rsidRPr="003B2E53">
        <w:rPr>
          <w:rFonts w:cs="Arial"/>
          <w:sz w:val="24"/>
          <w:vertAlign w:val="superscript"/>
          <w:lang w:eastAsia="zh-CN"/>
        </w:rPr>
        <w:t>th</w:t>
      </w:r>
      <w:r w:rsidRPr="00A66DAB">
        <w:rPr>
          <w:rFonts w:cs="Arial"/>
          <w:sz w:val="24"/>
          <w:lang w:eastAsia="zh-CN"/>
        </w:rPr>
        <w:t xml:space="preserve"> </w:t>
      </w:r>
      <w:r>
        <w:rPr>
          <w:rFonts w:cs="Arial"/>
          <w:sz w:val="24"/>
          <w:lang w:eastAsia="zh-CN"/>
        </w:rPr>
        <w:t>June 2017</w:t>
      </w:r>
      <w:r w:rsidR="00090CBF">
        <w:rPr>
          <w:rFonts w:cs="Arial"/>
          <w:sz w:val="24"/>
          <w:lang w:eastAsia="zh-CN"/>
        </w:rPr>
        <w:t xml:space="preserve">                                  Revision of R2-1704785</w:t>
      </w:r>
    </w:p>
    <w:p w14:paraId="150D53AC" w14:textId="77777777" w:rsidR="00EC3224" w:rsidRPr="0077190D" w:rsidRDefault="00EC3224" w:rsidP="00EC3224">
      <w:pPr>
        <w:pStyle w:val="Header"/>
        <w:spacing w:line="276" w:lineRule="auto"/>
        <w:jc w:val="both"/>
        <w:rPr>
          <w:bCs/>
          <w:noProof w:val="0"/>
          <w:sz w:val="24"/>
          <w:lang w:eastAsia="ja-JP"/>
        </w:rPr>
      </w:pPr>
    </w:p>
    <w:p w14:paraId="3B4FAE00" w14:textId="27D34146" w:rsidR="00EC3224" w:rsidRPr="0077190D" w:rsidRDefault="00EC3224" w:rsidP="00EC3224">
      <w:pPr>
        <w:pStyle w:val="CRCoverPage"/>
        <w:spacing w:line="276" w:lineRule="auto"/>
        <w:jc w:val="both"/>
        <w:rPr>
          <w:rFonts w:eastAsia="SimSun" w:cs="Arial"/>
          <w:b/>
          <w:bCs/>
          <w:sz w:val="24"/>
          <w:lang w:val="en-US" w:eastAsia="zh-CN"/>
        </w:rPr>
      </w:pPr>
      <w:r w:rsidRPr="0077190D">
        <w:rPr>
          <w:rFonts w:cs="Arial"/>
          <w:b/>
          <w:bCs/>
          <w:sz w:val="24"/>
          <w:lang w:val="en-US"/>
        </w:rPr>
        <w:t>Agenda item:</w:t>
      </w:r>
      <w:r w:rsidRPr="0077190D">
        <w:rPr>
          <w:rFonts w:cs="Arial"/>
          <w:b/>
          <w:bCs/>
          <w:sz w:val="24"/>
          <w:lang w:val="en-US"/>
        </w:rPr>
        <w:tab/>
      </w:r>
      <w:r w:rsidRPr="0077190D">
        <w:rPr>
          <w:rFonts w:cs="Arial"/>
          <w:b/>
          <w:bCs/>
          <w:sz w:val="24"/>
          <w:lang w:val="en-US"/>
        </w:rPr>
        <w:tab/>
      </w:r>
      <w:r w:rsidR="00090CBF">
        <w:rPr>
          <w:rFonts w:cs="Arial"/>
          <w:bCs/>
          <w:sz w:val="24"/>
          <w:lang w:val="en-US"/>
        </w:rPr>
        <w:t>10.3.1.10</w:t>
      </w:r>
    </w:p>
    <w:p w14:paraId="7AD2F888" w14:textId="77777777" w:rsidR="00EC3224" w:rsidRPr="0077190D" w:rsidRDefault="00EC3224" w:rsidP="00EC3224">
      <w:pPr>
        <w:spacing w:line="276" w:lineRule="auto"/>
        <w:jc w:val="both"/>
        <w:rPr>
          <w:rFonts w:ascii="Arial" w:hAnsi="Arial" w:cs="Arial"/>
          <w:bCs/>
          <w:sz w:val="24"/>
        </w:rPr>
      </w:pPr>
      <w:r w:rsidRPr="0077190D">
        <w:rPr>
          <w:rFonts w:ascii="Arial" w:hAnsi="Arial" w:cs="Arial"/>
          <w:b/>
          <w:bCs/>
          <w:sz w:val="24"/>
        </w:rPr>
        <w:t>Source:</w:t>
      </w:r>
      <w:r w:rsidRPr="0077190D">
        <w:rPr>
          <w:rFonts w:ascii="Arial" w:hAnsi="Arial" w:cs="Arial"/>
          <w:b/>
          <w:bCs/>
          <w:sz w:val="24"/>
        </w:rPr>
        <w:tab/>
      </w:r>
      <w:r w:rsidRPr="0077190D">
        <w:rPr>
          <w:rFonts w:ascii="Arial" w:hAnsi="Arial" w:cs="Arial"/>
          <w:b/>
          <w:bCs/>
          <w:sz w:val="24"/>
        </w:rPr>
        <w:tab/>
      </w:r>
      <w:r w:rsidRPr="0077190D">
        <w:rPr>
          <w:rFonts w:ascii="Arial" w:hAnsi="Arial" w:cs="Arial"/>
          <w:b/>
          <w:bCs/>
          <w:sz w:val="24"/>
        </w:rPr>
        <w:tab/>
      </w:r>
      <w:r w:rsidRPr="0077190D">
        <w:rPr>
          <w:rFonts w:ascii="Arial" w:hAnsi="Arial" w:cs="Arial"/>
          <w:bCs/>
          <w:sz w:val="24"/>
        </w:rPr>
        <w:t>Intel Corporation</w:t>
      </w:r>
    </w:p>
    <w:p w14:paraId="0A958500" w14:textId="09138CD7" w:rsidR="00EC3224" w:rsidRPr="0077190D" w:rsidRDefault="00EC3224" w:rsidP="00EC3224">
      <w:pPr>
        <w:tabs>
          <w:tab w:val="left" w:pos="1985"/>
        </w:tabs>
        <w:spacing w:line="276" w:lineRule="auto"/>
        <w:ind w:left="2880" w:hanging="2880"/>
        <w:jc w:val="both"/>
        <w:rPr>
          <w:rFonts w:ascii="Arial" w:eastAsia="Malgun Gothic" w:hAnsi="Arial" w:cs="Arial"/>
          <w:bCs/>
          <w:sz w:val="24"/>
          <w:lang w:eastAsia="ko-KR"/>
        </w:rPr>
      </w:pPr>
      <w:r w:rsidRPr="0077190D">
        <w:rPr>
          <w:rFonts w:ascii="Arial" w:hAnsi="Arial" w:cs="Arial"/>
          <w:b/>
          <w:bCs/>
          <w:sz w:val="24"/>
        </w:rPr>
        <w:t>Title:</w:t>
      </w:r>
      <w:r w:rsidRPr="0077190D">
        <w:rPr>
          <w:rFonts w:ascii="Arial" w:hAnsi="Arial" w:cs="Arial"/>
          <w:bCs/>
          <w:sz w:val="24"/>
        </w:rPr>
        <w:tab/>
      </w:r>
      <w:r w:rsidRPr="0077190D">
        <w:rPr>
          <w:rFonts w:ascii="Arial" w:hAnsi="Arial" w:cs="Arial"/>
          <w:bCs/>
          <w:sz w:val="24"/>
        </w:rPr>
        <w:tab/>
      </w:r>
      <w:r w:rsidR="00F9014E" w:rsidRPr="0077190D">
        <w:rPr>
          <w:rFonts w:ascii="Arial" w:hAnsi="Arial" w:cs="Arial"/>
          <w:bCs/>
          <w:sz w:val="24"/>
        </w:rPr>
        <w:t>C-DRX enhancement</w:t>
      </w:r>
      <w:r w:rsidRPr="0077190D">
        <w:rPr>
          <w:rFonts w:ascii="Arial" w:hAnsi="Arial" w:cs="Arial"/>
          <w:bCs/>
          <w:sz w:val="24"/>
        </w:rPr>
        <w:t xml:space="preserve"> in NR</w:t>
      </w:r>
    </w:p>
    <w:p w14:paraId="251C13C3" w14:textId="77777777" w:rsidR="00EC3224" w:rsidRPr="0077190D" w:rsidRDefault="00EC3224" w:rsidP="00EC3224">
      <w:pPr>
        <w:spacing w:line="276" w:lineRule="auto"/>
        <w:jc w:val="both"/>
        <w:rPr>
          <w:rFonts w:ascii="Arial" w:hAnsi="Arial" w:cs="Arial"/>
          <w:b/>
          <w:bCs/>
          <w:sz w:val="24"/>
          <w:lang w:eastAsia="zh-CN"/>
        </w:rPr>
      </w:pPr>
      <w:r w:rsidRPr="0077190D">
        <w:rPr>
          <w:rFonts w:ascii="Arial" w:hAnsi="Arial" w:cs="Arial"/>
          <w:b/>
          <w:bCs/>
          <w:sz w:val="24"/>
        </w:rPr>
        <w:t>Document for:</w:t>
      </w:r>
      <w:r w:rsidRPr="0077190D">
        <w:rPr>
          <w:rFonts w:ascii="Arial" w:hAnsi="Arial" w:cs="Arial"/>
          <w:b/>
          <w:bCs/>
          <w:sz w:val="24"/>
        </w:rPr>
        <w:tab/>
      </w:r>
      <w:r w:rsidRPr="0077190D">
        <w:rPr>
          <w:rFonts w:ascii="Arial" w:hAnsi="Arial" w:cs="Arial"/>
          <w:b/>
          <w:bCs/>
          <w:sz w:val="24"/>
        </w:rPr>
        <w:tab/>
      </w:r>
      <w:r w:rsidRPr="0077190D">
        <w:rPr>
          <w:rFonts w:ascii="Arial" w:hAnsi="Arial" w:cs="Arial"/>
          <w:bCs/>
          <w:sz w:val="24"/>
        </w:rPr>
        <w:t>Discussion and decision</w:t>
      </w:r>
    </w:p>
    <w:p w14:paraId="412EF39C" w14:textId="77777777" w:rsidR="00EC3224" w:rsidRPr="0077190D" w:rsidRDefault="00EC3224" w:rsidP="00EA3FD8">
      <w:pPr>
        <w:pStyle w:val="Heading1"/>
      </w:pPr>
      <w:bookmarkStart w:id="1" w:name="_Ref429645891"/>
      <w:r w:rsidRPr="0077190D">
        <w:t>Introduction</w:t>
      </w:r>
      <w:bookmarkEnd w:id="1"/>
    </w:p>
    <w:p w14:paraId="4144845C" w14:textId="23B19976" w:rsidR="00EC3224" w:rsidRPr="0077190D" w:rsidRDefault="00EC3224" w:rsidP="00C46271">
      <w:r w:rsidRPr="0077190D">
        <w:t xml:space="preserve">In RAN2#95bis meeting, </w:t>
      </w:r>
      <w:r w:rsidR="00D626D1" w:rsidRPr="0077190D">
        <w:t xml:space="preserve">the </w:t>
      </w:r>
      <w:r w:rsidRPr="0077190D">
        <w:t>following was agreed:</w:t>
      </w:r>
    </w:p>
    <w:p w14:paraId="366CAB93" w14:textId="77777777" w:rsidR="00EC3224" w:rsidRPr="0077190D" w:rsidRDefault="00EC3224" w:rsidP="00EC3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 w:firstLine="0"/>
      </w:pPr>
      <w:r w:rsidRPr="0077190D">
        <w:t>“</w:t>
      </w:r>
      <w:r w:rsidRPr="0077190D">
        <w:rPr>
          <w:rFonts w:ascii="Times New Roman" w:hAnsi="Times New Roman"/>
          <w:i/>
        </w:rPr>
        <w:t>DRX enhancement is studied in NR in order to support multiple services with different requirements and/or numerologies</w:t>
      </w:r>
      <w:r w:rsidRPr="0077190D">
        <w:rPr>
          <w:i/>
        </w:rPr>
        <w:t>”</w:t>
      </w:r>
      <w:r w:rsidRPr="0077190D">
        <w:rPr>
          <w:rFonts w:ascii="Times New Roman" w:hAnsi="Times New Roman"/>
          <w:i/>
        </w:rPr>
        <w:t>.</w:t>
      </w:r>
      <w:r w:rsidRPr="0077190D" w:rsidDel="00A525DD">
        <w:t xml:space="preserve"> </w:t>
      </w:r>
    </w:p>
    <w:p w14:paraId="01FF02F1" w14:textId="77777777" w:rsidR="00EC3224" w:rsidRPr="0077190D" w:rsidRDefault="00EC3224" w:rsidP="00EC3224">
      <w:pPr>
        <w:pStyle w:val="Doc-text2"/>
        <w:spacing w:line="276" w:lineRule="auto"/>
        <w:ind w:left="0" w:firstLine="0"/>
      </w:pPr>
    </w:p>
    <w:p w14:paraId="0DCA3C7C" w14:textId="3A1F4824" w:rsidR="00016AA4" w:rsidRPr="0077190D" w:rsidRDefault="00016AA4" w:rsidP="00C46271">
      <w:r w:rsidRPr="0077190D">
        <w:t>In RAN2#97bis</w:t>
      </w:r>
      <w:r w:rsidR="00B145C0" w:rsidRPr="0077190D">
        <w:t xml:space="preserve"> [1]</w:t>
      </w:r>
      <w:r w:rsidRPr="0077190D">
        <w:t>, following agreements were made.</w:t>
      </w:r>
    </w:p>
    <w:p w14:paraId="6682200B" w14:textId="77777777" w:rsidR="00016AA4" w:rsidRPr="0077190D" w:rsidRDefault="00016AA4" w:rsidP="007719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50"/>
        </w:tabs>
        <w:ind w:left="450" w:hanging="450"/>
        <w:rPr>
          <w:rFonts w:ascii="Times New Roman" w:hAnsi="Times New Roman"/>
          <w:i/>
        </w:rPr>
      </w:pPr>
      <w:r w:rsidRPr="0077190D">
        <w:t>-</w:t>
      </w:r>
      <w:r w:rsidRPr="0077190D">
        <w:tab/>
      </w:r>
      <w:r w:rsidRPr="0077190D">
        <w:rPr>
          <w:rFonts w:ascii="Times New Roman" w:hAnsi="Times New Roman"/>
          <w:i/>
        </w:rPr>
        <w:t>A MAC entity can be in one DRX state (i.e. single on/off time) at any given time.  FFS if multiple configuration are supported.</w:t>
      </w:r>
    </w:p>
    <w:p w14:paraId="2914327C" w14:textId="77777777" w:rsidR="00016AA4" w:rsidRPr="0077190D" w:rsidRDefault="00016AA4" w:rsidP="007719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ind w:hanging="1622"/>
        <w:rPr>
          <w:rFonts w:ascii="Times New Roman" w:hAnsi="Times New Roman"/>
          <w:i/>
        </w:rPr>
      </w:pPr>
      <w:r w:rsidRPr="0077190D">
        <w:rPr>
          <w:rFonts w:ascii="Times New Roman" w:hAnsi="Times New Roman"/>
          <w:i/>
        </w:rPr>
        <w:t>-</w:t>
      </w:r>
      <w:r w:rsidRPr="0077190D">
        <w:rPr>
          <w:rFonts w:ascii="Times New Roman" w:hAnsi="Times New Roman"/>
          <w:i/>
        </w:rPr>
        <w:tab/>
        <w:t xml:space="preserve">When MAC entity is awake it monitors “PDCCH” occasion </w:t>
      </w:r>
    </w:p>
    <w:p w14:paraId="06E18A34" w14:textId="77777777" w:rsidR="00016AA4" w:rsidRPr="0077190D" w:rsidRDefault="00016AA4" w:rsidP="007719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50"/>
        </w:tabs>
        <w:ind w:left="450" w:hanging="450"/>
        <w:rPr>
          <w:rFonts w:ascii="Times New Roman" w:hAnsi="Times New Roman"/>
          <w:i/>
        </w:rPr>
      </w:pPr>
      <w:r w:rsidRPr="0077190D">
        <w:rPr>
          <w:rFonts w:ascii="Times New Roman" w:hAnsi="Times New Roman"/>
          <w:i/>
        </w:rPr>
        <w:t>-</w:t>
      </w:r>
      <w:r w:rsidRPr="0077190D">
        <w:rPr>
          <w:rFonts w:ascii="Times New Roman" w:hAnsi="Times New Roman"/>
          <w:i/>
        </w:rPr>
        <w:tab/>
        <w:t>In NR, a DRX configuration is described by at least the following configuration parameters: an on duration time, an inactivity time, a retransmission time, short DRX cycles, long DRX cycles</w:t>
      </w:r>
    </w:p>
    <w:p w14:paraId="33BB737C" w14:textId="18D10F59" w:rsidR="00EC3224" w:rsidRPr="003010EA" w:rsidRDefault="00EC3224" w:rsidP="00C46271">
      <w:r w:rsidRPr="003010EA">
        <w:t>In this document, we discuss</w:t>
      </w:r>
      <w:r w:rsidR="00B145C0" w:rsidRPr="003010EA">
        <w:t xml:space="preserve"> </w:t>
      </w:r>
      <w:r w:rsidR="00B56792" w:rsidRPr="003010EA">
        <w:t>the issue of using multiple DRX configuration</w:t>
      </w:r>
      <w:r w:rsidR="00222F9D" w:rsidRPr="003010EA">
        <w:t>s</w:t>
      </w:r>
      <w:r w:rsidR="00B56792" w:rsidRPr="003010EA">
        <w:t xml:space="preserve"> at the same time and </w:t>
      </w:r>
      <w:r w:rsidR="00222F9D" w:rsidRPr="003010EA">
        <w:t xml:space="preserve">the </w:t>
      </w:r>
      <w:r w:rsidR="00B56792" w:rsidRPr="003010EA">
        <w:t xml:space="preserve">necessity of switching of </w:t>
      </w:r>
      <w:r w:rsidR="00661B0A" w:rsidRPr="003010EA">
        <w:t xml:space="preserve">the </w:t>
      </w:r>
      <w:r w:rsidR="00B56792" w:rsidRPr="003010EA">
        <w:t>DRX configuration</w:t>
      </w:r>
      <w:r w:rsidR="00661B0A" w:rsidRPr="003010EA">
        <w:t>s</w:t>
      </w:r>
      <w:r w:rsidR="002243A7" w:rsidRPr="003010EA">
        <w:t>.</w:t>
      </w:r>
      <w:r w:rsidR="00661B0A" w:rsidRPr="003010EA">
        <w:t xml:space="preserve"> We also discuss that some of the DRX parameters depend on the numerology/TTI length of a TB.</w:t>
      </w:r>
    </w:p>
    <w:p w14:paraId="6BC4397B" w14:textId="1F897E28" w:rsidR="00D008A9" w:rsidRPr="0077190D" w:rsidRDefault="006E3858" w:rsidP="000F42B9">
      <w:pPr>
        <w:pStyle w:val="Heading1"/>
      </w:pPr>
      <w:r w:rsidRPr="0077190D">
        <w:t>Discussion</w:t>
      </w:r>
    </w:p>
    <w:p w14:paraId="4C38162E" w14:textId="7B6D6F42" w:rsidR="00F42860" w:rsidRPr="003010EA" w:rsidRDefault="00466241" w:rsidP="00F42860">
      <w:pPr>
        <w:pStyle w:val="Heading2"/>
      </w:pPr>
      <w:r w:rsidRPr="003010EA">
        <w:t>Single DRX vs Multiple DRX</w:t>
      </w:r>
      <w:r w:rsidR="003265A3" w:rsidRPr="003010EA">
        <w:t xml:space="preserve"> configurations</w:t>
      </w:r>
    </w:p>
    <w:p w14:paraId="5532818D" w14:textId="1DD4A0AE" w:rsidR="003265A3" w:rsidRPr="003010EA" w:rsidRDefault="003265A3" w:rsidP="00466241">
      <w:pPr>
        <w:rPr>
          <w:lang w:val="en-GB" w:eastAsia="x-none"/>
        </w:rPr>
      </w:pPr>
      <w:r w:rsidRPr="003010EA">
        <w:rPr>
          <w:lang w:val="en-GB" w:eastAsia="x-none"/>
        </w:rPr>
        <w:t xml:space="preserve">A UE can support multiple numerology/TTI lengths. Each numerology/TTI length may be associated with different services </w:t>
      </w:r>
      <w:r w:rsidR="00222F9D" w:rsidRPr="003010EA">
        <w:rPr>
          <w:lang w:val="en-GB" w:eastAsia="x-none"/>
        </w:rPr>
        <w:t xml:space="preserve">that the </w:t>
      </w:r>
      <w:r w:rsidRPr="003010EA">
        <w:rPr>
          <w:lang w:val="en-GB" w:eastAsia="x-none"/>
        </w:rPr>
        <w:t xml:space="preserve">UE is supporting. A UE </w:t>
      </w:r>
      <w:r w:rsidR="00222F9D" w:rsidRPr="003010EA">
        <w:rPr>
          <w:lang w:val="en-GB" w:eastAsia="x-none"/>
        </w:rPr>
        <w:t>could be configured with</w:t>
      </w:r>
      <w:r w:rsidRPr="003010EA">
        <w:rPr>
          <w:lang w:val="en-GB" w:eastAsia="x-none"/>
        </w:rPr>
        <w:t xml:space="preserve"> </w:t>
      </w:r>
      <w:r w:rsidR="00447542" w:rsidRPr="003010EA">
        <w:rPr>
          <w:lang w:val="en-GB" w:eastAsia="x-none"/>
        </w:rPr>
        <w:t xml:space="preserve">a </w:t>
      </w:r>
      <w:r w:rsidRPr="003010EA">
        <w:rPr>
          <w:lang w:val="en-GB" w:eastAsia="x-none"/>
        </w:rPr>
        <w:t xml:space="preserve">DRX configuration </w:t>
      </w:r>
      <w:r w:rsidR="00447542" w:rsidRPr="003010EA">
        <w:rPr>
          <w:lang w:val="en-GB" w:eastAsia="x-none"/>
        </w:rPr>
        <w:t>based on the currently active</w:t>
      </w:r>
      <w:r w:rsidRPr="003010EA">
        <w:rPr>
          <w:lang w:val="en-GB" w:eastAsia="x-none"/>
        </w:rPr>
        <w:t xml:space="preserve"> services or numerology/TTI. A DRX configuration </w:t>
      </w:r>
      <w:r w:rsidR="00222F9D" w:rsidRPr="003010EA">
        <w:rPr>
          <w:lang w:val="en-GB" w:eastAsia="x-none"/>
        </w:rPr>
        <w:t xml:space="preserve">corresponds to one complete set of </w:t>
      </w:r>
      <w:r w:rsidRPr="003010EA">
        <w:rPr>
          <w:lang w:val="en-GB" w:eastAsia="x-none"/>
        </w:rPr>
        <w:t xml:space="preserve">DRX </w:t>
      </w:r>
      <w:r w:rsidR="00222F9D" w:rsidRPr="003010EA">
        <w:rPr>
          <w:lang w:val="en-GB" w:eastAsia="x-none"/>
        </w:rPr>
        <w:t xml:space="preserve">configuration </w:t>
      </w:r>
      <w:r w:rsidRPr="003010EA">
        <w:rPr>
          <w:lang w:val="en-GB" w:eastAsia="x-none"/>
        </w:rPr>
        <w:t xml:space="preserve">parameters. For example, network may </w:t>
      </w:r>
      <w:r w:rsidR="00447542" w:rsidRPr="003010EA">
        <w:rPr>
          <w:lang w:val="en-GB" w:eastAsia="x-none"/>
        </w:rPr>
        <w:t>re-</w:t>
      </w:r>
      <w:r w:rsidRPr="003010EA">
        <w:rPr>
          <w:lang w:val="en-GB" w:eastAsia="x-none"/>
        </w:rPr>
        <w:t xml:space="preserve">configure </w:t>
      </w:r>
      <w:r w:rsidR="00447542" w:rsidRPr="003010EA">
        <w:rPr>
          <w:lang w:val="en-GB" w:eastAsia="x-none"/>
        </w:rPr>
        <w:t xml:space="preserve">a </w:t>
      </w:r>
      <w:r w:rsidRPr="003010EA">
        <w:rPr>
          <w:lang w:val="en-GB" w:eastAsia="x-none"/>
        </w:rPr>
        <w:t xml:space="preserve">DRX </w:t>
      </w:r>
      <w:r w:rsidR="00447542" w:rsidRPr="003010EA">
        <w:rPr>
          <w:lang w:val="en-GB" w:eastAsia="x-none"/>
        </w:rPr>
        <w:t xml:space="preserve">parameters </w:t>
      </w:r>
      <w:r w:rsidRPr="003010EA">
        <w:rPr>
          <w:lang w:val="en-GB" w:eastAsia="x-none"/>
        </w:rPr>
        <w:t xml:space="preserve">with </w:t>
      </w:r>
      <w:r w:rsidR="00222F9D" w:rsidRPr="003010EA">
        <w:rPr>
          <w:lang w:val="en-GB" w:eastAsia="x-none"/>
        </w:rPr>
        <w:t xml:space="preserve">just a </w:t>
      </w:r>
      <w:r w:rsidRPr="003010EA">
        <w:rPr>
          <w:lang w:val="en-GB" w:eastAsia="x-none"/>
        </w:rPr>
        <w:t xml:space="preserve">single parameter (DRX cycle) different and other parameters same or with more than one parameters different (DRX Cycle, ON duration and DRX inactivity timer) and other parameters same. However, a UE is not required to </w:t>
      </w:r>
      <w:r w:rsidR="00447542" w:rsidRPr="003010EA">
        <w:rPr>
          <w:lang w:val="en-GB" w:eastAsia="x-none"/>
        </w:rPr>
        <w:t xml:space="preserve">configure to use </w:t>
      </w:r>
      <w:r w:rsidRPr="003010EA">
        <w:rPr>
          <w:lang w:val="en-GB" w:eastAsia="x-none"/>
        </w:rPr>
        <w:t xml:space="preserve">multiple DRX configurations at the same time. </w:t>
      </w:r>
    </w:p>
    <w:p w14:paraId="619EAEEB" w14:textId="0124F6CD" w:rsidR="003265A3" w:rsidRPr="003010EA" w:rsidRDefault="003265A3" w:rsidP="00744C91">
      <w:pPr>
        <w:pStyle w:val="Observationstyle"/>
        <w:rPr>
          <w:lang w:val="en-GB"/>
        </w:rPr>
      </w:pPr>
      <w:bookmarkStart w:id="2" w:name="_Toc485216226"/>
      <w:bookmarkStart w:id="3" w:name="_Toc485217567"/>
      <w:bookmarkStart w:id="4" w:name="_Toc485406506"/>
      <w:bookmarkStart w:id="5" w:name="_Toc485406916"/>
      <w:bookmarkStart w:id="6" w:name="_Toc485410967"/>
      <w:r w:rsidRPr="003010EA">
        <w:rPr>
          <w:lang w:val="en-GB"/>
        </w:rPr>
        <w:t xml:space="preserve">A UE is not required to execute multiple DRX configurations at the same time. Instead, </w:t>
      </w:r>
      <w:r w:rsidR="00744C91" w:rsidRPr="00744C91">
        <w:rPr>
          <w:lang w:val="en-GB"/>
        </w:rPr>
        <w:t>the network may switch the DRX configuration of a UE to another DRX configuration based on the requirements of the currently active services</w:t>
      </w:r>
      <w:r w:rsidRPr="003010EA">
        <w:rPr>
          <w:lang w:val="en-GB"/>
        </w:rPr>
        <w:t>.</w:t>
      </w:r>
      <w:bookmarkEnd w:id="2"/>
      <w:bookmarkEnd w:id="3"/>
      <w:bookmarkEnd w:id="4"/>
      <w:bookmarkEnd w:id="5"/>
      <w:bookmarkEnd w:id="6"/>
    </w:p>
    <w:p w14:paraId="446D3C29" w14:textId="0DA0DBE3" w:rsidR="00DA4AEE" w:rsidRPr="003010EA" w:rsidRDefault="00DA4AEE" w:rsidP="00466241">
      <w:pPr>
        <w:rPr>
          <w:lang w:val="en-GB" w:eastAsia="x-none"/>
        </w:rPr>
      </w:pPr>
      <w:r w:rsidRPr="003010EA">
        <w:rPr>
          <w:lang w:val="en-GB" w:eastAsia="x-none"/>
        </w:rPr>
        <w:t>In the RAN2#97bis meeting, it was agreed that a MAC entity can be at only one DRX state which indicates that a MAC entity is monitoring all possible PDCCH occasions at DRX active time. To achieve a single DRX active state per MAC entity, a single DRX cycle is sufficient and simple.</w:t>
      </w:r>
    </w:p>
    <w:p w14:paraId="549FB649" w14:textId="2E9AA41E" w:rsidR="00466241" w:rsidRPr="00744C91" w:rsidRDefault="00302AE8" w:rsidP="003010EA">
      <w:pPr>
        <w:rPr>
          <w:color w:val="FF0000"/>
          <w:lang w:val="en-GB"/>
        </w:rPr>
      </w:pPr>
      <w:r>
        <w:rPr>
          <w:lang w:val="en-GB" w:eastAsia="x-none"/>
        </w:rPr>
        <w:t>I</w:t>
      </w:r>
      <w:r w:rsidR="00DA4AEE" w:rsidRPr="003010EA">
        <w:rPr>
          <w:lang w:val="en-GB" w:eastAsia="x-none"/>
        </w:rPr>
        <w:t xml:space="preserve">f a UE is configured to use </w:t>
      </w:r>
      <w:r>
        <w:rPr>
          <w:lang w:val="en-GB" w:eastAsia="x-none"/>
        </w:rPr>
        <w:t>DRX as a</w:t>
      </w:r>
      <w:r w:rsidR="00DA4AEE" w:rsidRPr="003010EA">
        <w:rPr>
          <w:lang w:val="en-GB" w:eastAsia="x-none"/>
        </w:rPr>
        <w:t xml:space="preserve"> union of multiple DRX cycles</w:t>
      </w:r>
      <w:r>
        <w:rPr>
          <w:lang w:val="en-GB" w:eastAsia="x-none"/>
        </w:rPr>
        <w:t>, there is</w:t>
      </w:r>
      <w:r w:rsidR="00DA4AEE" w:rsidRPr="003010EA">
        <w:rPr>
          <w:lang w:val="en-GB" w:eastAsia="x-none"/>
        </w:rPr>
        <w:t xml:space="preserve"> </w:t>
      </w:r>
      <w:r>
        <w:rPr>
          <w:lang w:val="en-GB" w:eastAsia="x-none"/>
        </w:rPr>
        <w:t>the complexity of running multiple DRX cycles simultaneously for different carriers</w:t>
      </w:r>
      <w:r w:rsidR="00DA4AEE" w:rsidRPr="003010EA">
        <w:rPr>
          <w:lang w:val="en-GB" w:eastAsia="x-none"/>
        </w:rPr>
        <w:t>.</w:t>
      </w:r>
      <w:r>
        <w:rPr>
          <w:lang w:val="en-GB" w:eastAsia="x-none"/>
        </w:rPr>
        <w:t xml:space="preserve"> It was also discussed for CA [2]</w:t>
      </w:r>
      <w:r w:rsidR="008511D6">
        <w:rPr>
          <w:lang w:val="en-GB" w:eastAsia="x-none"/>
        </w:rPr>
        <w:t xml:space="preserve"> in LTE</w:t>
      </w:r>
      <w:r>
        <w:rPr>
          <w:lang w:val="en-GB" w:eastAsia="x-none"/>
        </w:rPr>
        <w:t xml:space="preserve"> that there is no significant power saving gain in monitoring PDCCH in a single carrier versus multiple carriers</w:t>
      </w:r>
      <w:r w:rsidR="008511D6">
        <w:rPr>
          <w:lang w:val="en-GB" w:eastAsia="x-none"/>
        </w:rPr>
        <w:t xml:space="preserve"> which was the motivation of </w:t>
      </w:r>
      <w:r w:rsidR="008511D6">
        <w:rPr>
          <w:lang w:val="en-GB" w:eastAsia="x-none"/>
        </w:rPr>
        <w:lastRenderedPageBreak/>
        <w:t>multiple DRX cycles</w:t>
      </w:r>
      <w:r>
        <w:rPr>
          <w:lang w:val="en-GB" w:eastAsia="x-none"/>
        </w:rPr>
        <w:t>. In some cases the gap between DRX ON occasions is small that the UE circuitry may not take advantage of DRX. For this reason, it is not preferred that a UE is configured with multiple DRX cycles.</w:t>
      </w:r>
    </w:p>
    <w:p w14:paraId="5E1551F3" w14:textId="11B0D21A" w:rsidR="00644797" w:rsidRPr="003265A3" w:rsidRDefault="00644797" w:rsidP="00644797">
      <w:pPr>
        <w:pStyle w:val="Recommend-1"/>
        <w:rPr>
          <w:b/>
          <w:lang w:val="en-GB"/>
        </w:rPr>
      </w:pPr>
      <w:bookmarkStart w:id="7" w:name="_Toc481522857"/>
      <w:bookmarkStart w:id="8" w:name="_Toc481594194"/>
      <w:bookmarkStart w:id="9" w:name="_Toc481772425"/>
      <w:bookmarkStart w:id="10" w:name="_Toc481772601"/>
      <w:bookmarkStart w:id="11" w:name="_Toc481772833"/>
      <w:bookmarkStart w:id="12" w:name="_Toc481784183"/>
      <w:bookmarkStart w:id="13" w:name="_Toc484621491"/>
      <w:bookmarkStart w:id="14" w:name="_Toc485214379"/>
      <w:bookmarkStart w:id="15" w:name="_Toc485216229"/>
      <w:bookmarkStart w:id="16" w:name="_Toc485406511"/>
      <w:bookmarkStart w:id="17" w:name="_Toc485406919"/>
      <w:bookmarkStart w:id="18" w:name="_Toc485410971"/>
      <w:bookmarkStart w:id="19" w:name="_Toc485410998"/>
      <w:r w:rsidRPr="003265A3">
        <w:rPr>
          <w:b/>
          <w:lang w:val="en-GB"/>
        </w:rPr>
        <w:t xml:space="preserve">A UE </w:t>
      </w:r>
      <w:r w:rsidR="007904A4">
        <w:rPr>
          <w:b/>
          <w:lang w:val="en-GB"/>
        </w:rPr>
        <w:t xml:space="preserve">uses </w:t>
      </w:r>
      <w:r w:rsidRPr="003265A3">
        <w:rPr>
          <w:b/>
          <w:lang w:val="en-GB"/>
        </w:rPr>
        <w:t>only one DRX configuration at a time.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C7076B4" w14:textId="5011C047" w:rsidR="00DB152D" w:rsidRPr="0077190D" w:rsidRDefault="000E1747" w:rsidP="00912200">
      <w:pPr>
        <w:pStyle w:val="Heading2"/>
      </w:pPr>
      <w:r>
        <w:t>Switching of DRX</w:t>
      </w:r>
      <w:r w:rsidR="00DB152D" w:rsidRPr="0077190D">
        <w:t xml:space="preserve"> configuration</w:t>
      </w:r>
      <w:r w:rsidR="00DE63EB" w:rsidRPr="0077190D">
        <w:t>s</w:t>
      </w:r>
    </w:p>
    <w:p w14:paraId="0DD58F6A" w14:textId="6B4042F5" w:rsidR="00B5120D" w:rsidRPr="0077190D" w:rsidRDefault="00466241" w:rsidP="00C46271">
      <w:r>
        <w:t>I</w:t>
      </w:r>
      <w:r w:rsidR="007A7CD1" w:rsidRPr="0077190D">
        <w:t>t is also possible that multiple DR</w:t>
      </w:r>
      <w:r w:rsidR="004B30BB" w:rsidRPr="0077190D">
        <w:t>Bs</w:t>
      </w:r>
      <w:r w:rsidR="007A7CD1" w:rsidRPr="0077190D">
        <w:t xml:space="preserve"> </w:t>
      </w:r>
      <w:r w:rsidR="007904A4">
        <w:t>are</w:t>
      </w:r>
      <w:r w:rsidR="007904A4" w:rsidRPr="0077190D">
        <w:t xml:space="preserve"> </w:t>
      </w:r>
      <w:r w:rsidR="00BF384A" w:rsidRPr="0077190D">
        <w:t>established but</w:t>
      </w:r>
      <w:r w:rsidR="007A7CD1" w:rsidRPr="0077190D">
        <w:t xml:space="preserve"> only some of them </w:t>
      </w:r>
      <w:r w:rsidR="007904A4">
        <w:t>are</w:t>
      </w:r>
      <w:r w:rsidR="007904A4" w:rsidRPr="0077190D">
        <w:t xml:space="preserve"> </w:t>
      </w:r>
      <w:r w:rsidR="007A7CD1" w:rsidRPr="0077190D">
        <w:t>being used</w:t>
      </w:r>
      <w:r w:rsidR="00BF384A" w:rsidRPr="0077190D">
        <w:t>/active</w:t>
      </w:r>
      <w:r w:rsidR="00DB152D" w:rsidRPr="0077190D">
        <w:t xml:space="preserve"> </w:t>
      </w:r>
      <w:r w:rsidR="00BF384A" w:rsidRPr="0077190D">
        <w:t>(</w:t>
      </w:r>
      <w:r w:rsidR="00DB152D" w:rsidRPr="0077190D">
        <w:t>i.e. having on-going data activity</w:t>
      </w:r>
      <w:r w:rsidR="00BF384A" w:rsidRPr="0077190D">
        <w:t>)</w:t>
      </w:r>
      <w:r w:rsidR="007904A4">
        <w:t xml:space="preserve"> at a given time</w:t>
      </w:r>
      <w:r w:rsidR="007A7CD1" w:rsidRPr="0077190D">
        <w:t xml:space="preserve">. In some scenarios where RRC signaling is not present such as </w:t>
      </w:r>
      <w:r w:rsidR="001F0BD2" w:rsidRPr="0077190D">
        <w:t>pointed</w:t>
      </w:r>
      <w:r w:rsidR="007A7CD1" w:rsidRPr="0077190D">
        <w:t xml:space="preserve"> further below, it is possible, though inefficient, to use additional RRC signaling simply to reconfigure DRX parameters.</w:t>
      </w:r>
    </w:p>
    <w:p w14:paraId="31ACF5CB" w14:textId="1FD0CCB7" w:rsidR="008B4B01" w:rsidRPr="0077190D" w:rsidRDefault="008B4B01" w:rsidP="001F0BD2">
      <w:pPr>
        <w:spacing w:after="0"/>
      </w:pPr>
      <w:r w:rsidRPr="0077190D">
        <w:t>Take the following example</w:t>
      </w:r>
      <w:r w:rsidR="00BF384A" w:rsidRPr="0077190D">
        <w:t xml:space="preserve"> w</w:t>
      </w:r>
      <w:r w:rsidR="00DF24A9" w:rsidRPr="0077190D">
        <w:t>h</w:t>
      </w:r>
      <w:r w:rsidR="00BF384A" w:rsidRPr="0077190D">
        <w:t>ere a UE is configured with 8 DRBs:</w:t>
      </w:r>
    </w:p>
    <w:p w14:paraId="411ECCA5" w14:textId="1B55A838" w:rsidR="007A7CD1" w:rsidRPr="0077190D" w:rsidRDefault="001A1402" w:rsidP="001F0BD2">
      <w:pPr>
        <w:pStyle w:val="ListParagraph"/>
        <w:numPr>
          <w:ilvl w:val="0"/>
          <w:numId w:val="9"/>
        </w:numPr>
      </w:pPr>
      <w:r w:rsidRPr="0077190D">
        <w:t xml:space="preserve">Only DRB#1 </w:t>
      </w:r>
      <w:r w:rsidR="00532F3F" w:rsidRPr="0077190D">
        <w:t xml:space="preserve">has </w:t>
      </w:r>
      <w:r w:rsidRPr="0077190D">
        <w:t>active</w:t>
      </w:r>
      <w:r w:rsidR="00532F3F" w:rsidRPr="0077190D">
        <w:t xml:space="preserve"> traffic</w:t>
      </w:r>
      <w:r w:rsidRPr="0077190D">
        <w:t xml:space="preserve">: DRX parameters </w:t>
      </w:r>
      <w:r w:rsidR="00DB152D" w:rsidRPr="0077190D">
        <w:t xml:space="preserve">favorable to </w:t>
      </w:r>
      <w:r w:rsidR="007904A4" w:rsidRPr="0077190D">
        <w:t>D</w:t>
      </w:r>
      <w:r w:rsidR="007904A4">
        <w:t>RB</w:t>
      </w:r>
      <w:r w:rsidR="007904A4" w:rsidRPr="0077190D">
        <w:t xml:space="preserve"> </w:t>
      </w:r>
      <w:r w:rsidR="00DB152D" w:rsidRPr="0077190D">
        <w:t xml:space="preserve">#1 </w:t>
      </w:r>
      <w:r w:rsidRPr="0077190D">
        <w:t>are configured to UE.</w:t>
      </w:r>
    </w:p>
    <w:p w14:paraId="3DCA3EF1" w14:textId="40231F85" w:rsidR="001A1402" w:rsidRPr="0077190D" w:rsidRDefault="001A1402" w:rsidP="001F0BD2">
      <w:pPr>
        <w:pStyle w:val="ListParagraph"/>
        <w:numPr>
          <w:ilvl w:val="0"/>
          <w:numId w:val="9"/>
        </w:numPr>
      </w:pPr>
      <w:r w:rsidRPr="0077190D">
        <w:t xml:space="preserve">DRB#1 and DRB#2 </w:t>
      </w:r>
      <w:r w:rsidR="00532F3F" w:rsidRPr="0077190D">
        <w:t>have</w:t>
      </w:r>
      <w:r w:rsidRPr="0077190D">
        <w:t xml:space="preserve"> active</w:t>
      </w:r>
      <w:r w:rsidR="00532F3F" w:rsidRPr="0077190D">
        <w:t xml:space="preserve"> traffic</w:t>
      </w:r>
      <w:r w:rsidRPr="0077190D">
        <w:t xml:space="preserve">: </w:t>
      </w:r>
      <w:r w:rsidR="00532F3F" w:rsidRPr="0077190D">
        <w:t xml:space="preserve">As </w:t>
      </w:r>
      <w:r w:rsidRPr="0077190D">
        <w:t xml:space="preserve">DRB#2 </w:t>
      </w:r>
      <w:r w:rsidR="00532F3F" w:rsidRPr="0077190D">
        <w:t xml:space="preserve">now </w:t>
      </w:r>
      <w:r w:rsidRPr="0077190D">
        <w:t xml:space="preserve">also </w:t>
      </w:r>
      <w:r w:rsidR="00532F3F" w:rsidRPr="0077190D">
        <w:t xml:space="preserve">has </w:t>
      </w:r>
      <w:r w:rsidRPr="0077190D">
        <w:t>activ</w:t>
      </w:r>
      <w:r w:rsidR="00532F3F" w:rsidRPr="0077190D">
        <w:t>e traffic</w:t>
      </w:r>
      <w:r w:rsidRPr="0077190D">
        <w:t xml:space="preserve">, a new </w:t>
      </w:r>
      <w:r w:rsidR="00532F3F" w:rsidRPr="0077190D">
        <w:t xml:space="preserve">set of </w:t>
      </w:r>
      <w:r w:rsidRPr="0077190D">
        <w:t xml:space="preserve">DRX parameters </w:t>
      </w:r>
      <w:r w:rsidR="00532F3F" w:rsidRPr="0077190D">
        <w:t>to meet the requirements of</w:t>
      </w:r>
      <w:r w:rsidRPr="0077190D">
        <w:t xml:space="preserve"> </w:t>
      </w:r>
      <w:r w:rsidR="00532F3F" w:rsidRPr="0077190D">
        <w:t xml:space="preserve">both </w:t>
      </w:r>
      <w:r w:rsidRPr="0077190D">
        <w:t>DRB</w:t>
      </w:r>
      <w:r w:rsidR="00532F3F" w:rsidRPr="0077190D">
        <w:t>s</w:t>
      </w:r>
      <w:r w:rsidRPr="0077190D">
        <w:t xml:space="preserve"> </w:t>
      </w:r>
      <w:r w:rsidR="007904A4">
        <w:t>are</w:t>
      </w:r>
      <w:r w:rsidR="007904A4" w:rsidRPr="0077190D">
        <w:t xml:space="preserve"> </w:t>
      </w:r>
      <w:r w:rsidRPr="0077190D">
        <w:t>required to be configured.</w:t>
      </w:r>
    </w:p>
    <w:p w14:paraId="1F17D282" w14:textId="1E7D0D7B" w:rsidR="001A1402" w:rsidRDefault="004B30BB" w:rsidP="001F0BD2">
      <w:pPr>
        <w:pStyle w:val="ListParagraph"/>
        <w:overflowPunct/>
        <w:autoSpaceDE/>
        <w:autoSpaceDN/>
        <w:adjustRightInd/>
        <w:spacing w:before="240"/>
        <w:ind w:left="0"/>
        <w:contextualSpacing w:val="0"/>
      </w:pPr>
      <w:r w:rsidRPr="0077190D">
        <w:t>In this scenario</w:t>
      </w:r>
      <w:r w:rsidR="001A1402" w:rsidRPr="0077190D">
        <w:t>, it is not efficient to use only dedicated RRC signaling every time</w:t>
      </w:r>
      <w:r w:rsidRPr="0077190D">
        <w:t xml:space="preserve"> </w:t>
      </w:r>
      <w:r w:rsidR="00532F3F" w:rsidRPr="0077190D">
        <w:t xml:space="preserve">traffic on </w:t>
      </w:r>
      <w:r w:rsidRPr="0077190D">
        <w:t xml:space="preserve">a DRB </w:t>
      </w:r>
      <w:r w:rsidR="00532F3F" w:rsidRPr="0077190D">
        <w:t>become active or inactive</w:t>
      </w:r>
      <w:r w:rsidR="00D375AF" w:rsidRPr="0077190D">
        <w:t xml:space="preserve"> as</w:t>
      </w:r>
      <w:r w:rsidR="001A1402" w:rsidRPr="0077190D">
        <w:t xml:space="preserve"> </w:t>
      </w:r>
      <w:r w:rsidR="00D375AF" w:rsidRPr="0077190D">
        <w:t>t</w:t>
      </w:r>
      <w:r w:rsidR="00A143D3" w:rsidRPr="0077190D">
        <w:t>his will incur additional signaling overhead</w:t>
      </w:r>
      <w:r w:rsidR="001A1402" w:rsidRPr="0077190D">
        <w:t xml:space="preserve">. Therefore a new mechanism to configure the DRX, for example using lower layers will be useful in NR.  </w:t>
      </w:r>
    </w:p>
    <w:p w14:paraId="540A30F8" w14:textId="5559B5BB" w:rsidR="000E1747" w:rsidRPr="0077190D" w:rsidRDefault="000E1747" w:rsidP="000E1747">
      <w:pPr>
        <w:pStyle w:val="Observationstyle"/>
      </w:pPr>
      <w:bookmarkStart w:id="20" w:name="_Toc485217568"/>
      <w:bookmarkStart w:id="21" w:name="_Toc485406507"/>
      <w:bookmarkStart w:id="22" w:name="_Toc485406917"/>
      <w:bookmarkStart w:id="23" w:name="_Toc485410968"/>
      <w:r>
        <w:t>When a new active traffic in a DRB requires a new DRX configuration, use of dedicated RRC signaling may incur additional overhead.</w:t>
      </w:r>
      <w:bookmarkEnd w:id="20"/>
      <w:bookmarkEnd w:id="21"/>
      <w:bookmarkEnd w:id="22"/>
      <w:bookmarkEnd w:id="23"/>
    </w:p>
    <w:p w14:paraId="4B3F4E74" w14:textId="74244BAF" w:rsidR="00EC3224" w:rsidRPr="0077190D" w:rsidRDefault="00EC3224" w:rsidP="00EC3224">
      <w:r w:rsidRPr="0077190D">
        <w:t xml:space="preserve">To avoid RRC signaling for every change of DRX configuration, UE can be configured with multiple DRX configurations.  The applicable one can be selected without RRC signaling, for example </w:t>
      </w:r>
      <w:r w:rsidR="00B74CE7" w:rsidRPr="0077190D">
        <w:t xml:space="preserve">it </w:t>
      </w:r>
      <w:r w:rsidRPr="0077190D">
        <w:t>can be signaled explicitly over the user plane or implicit</w:t>
      </w:r>
      <w:r w:rsidR="00B74CE7" w:rsidRPr="0077190D">
        <w:t>ly</w:t>
      </w:r>
      <w:r w:rsidRPr="0077190D">
        <w:t xml:space="preserve"> based on active DRB.  </w:t>
      </w:r>
    </w:p>
    <w:p w14:paraId="56B1932D" w14:textId="77777777" w:rsidR="00EC3224" w:rsidRPr="0077190D" w:rsidRDefault="00EC3224" w:rsidP="00EC3224">
      <w:pPr>
        <w:spacing w:after="0"/>
      </w:pPr>
      <w:r w:rsidRPr="0077190D">
        <w:t>There can be different mechanisms how the network can select an applicable DRX configuration such as</w:t>
      </w:r>
    </w:p>
    <w:p w14:paraId="756819C9" w14:textId="77777777" w:rsidR="00EC3224" w:rsidRPr="0077190D" w:rsidRDefault="00EC3224" w:rsidP="00EC3224">
      <w:pPr>
        <w:numPr>
          <w:ilvl w:val="0"/>
          <w:numId w:val="6"/>
        </w:numPr>
        <w:spacing w:after="0"/>
      </w:pPr>
      <w:r w:rsidRPr="0077190D">
        <w:t>Based on which DRB is active.</w:t>
      </w:r>
    </w:p>
    <w:p w14:paraId="3CC83683" w14:textId="7687EDE1" w:rsidR="00DC5FF1" w:rsidRPr="0077190D" w:rsidRDefault="00EC3224" w:rsidP="00673F1E">
      <w:pPr>
        <w:numPr>
          <w:ilvl w:val="0"/>
          <w:numId w:val="6"/>
        </w:numPr>
        <w:spacing w:after="0"/>
      </w:pPr>
      <w:r w:rsidRPr="0077190D">
        <w:t>Based on stringent condition of DRX cycle</w:t>
      </w:r>
      <w:r w:rsidR="00B2143A" w:rsidRPr="0077190D">
        <w:t xml:space="preserve"> (e.g. depending TTI)</w:t>
      </w:r>
      <w:r w:rsidR="00B74CE7" w:rsidRPr="0077190D">
        <w:t>.</w:t>
      </w:r>
    </w:p>
    <w:p w14:paraId="5210FC89" w14:textId="0E1D3669" w:rsidR="00B2143A" w:rsidRPr="0077190D" w:rsidRDefault="00B2143A">
      <w:pPr>
        <w:numPr>
          <w:ilvl w:val="0"/>
          <w:numId w:val="6"/>
        </w:numPr>
      </w:pPr>
      <w:r w:rsidRPr="0077190D">
        <w:t>Based on UE preference</w:t>
      </w:r>
    </w:p>
    <w:p w14:paraId="3EF31AA2" w14:textId="54A6F2F9" w:rsidR="00D42EE8" w:rsidRDefault="006E59EA" w:rsidP="00EC3224">
      <w:pPr>
        <w:rPr>
          <w:lang w:eastAsia="zh-CN"/>
        </w:rPr>
      </w:pPr>
      <w:r>
        <w:rPr>
          <w:lang w:eastAsia="zh-CN"/>
        </w:rPr>
        <w:t>M</w:t>
      </w:r>
      <w:r w:rsidRPr="0077190D">
        <w:rPr>
          <w:lang w:eastAsia="zh-CN"/>
        </w:rPr>
        <w:t>ultiple DRX configurations can be pre-defined based on services or numerologies supported</w:t>
      </w:r>
      <w:r>
        <w:rPr>
          <w:lang w:eastAsia="zh-CN"/>
        </w:rPr>
        <w:t xml:space="preserve">. </w:t>
      </w:r>
      <w:r w:rsidR="00EC3224" w:rsidRPr="0077190D">
        <w:rPr>
          <w:lang w:eastAsia="zh-CN"/>
        </w:rPr>
        <w:t>For example, a DRX configuration can be mapped to a particular DRB.</w:t>
      </w:r>
      <w:r w:rsidR="00D42EE8">
        <w:rPr>
          <w:lang w:eastAsia="zh-CN"/>
        </w:rPr>
        <w:t xml:space="preserve"> In this case, DRX configuration can be used based on the active DRB</w:t>
      </w:r>
      <w:r w:rsidR="00560287">
        <w:rPr>
          <w:lang w:eastAsia="zh-CN"/>
        </w:rPr>
        <w:t xml:space="preserve"> where</w:t>
      </w:r>
      <w:r w:rsidR="00447542">
        <w:rPr>
          <w:lang w:eastAsia="zh-CN"/>
        </w:rPr>
        <w:t xml:space="preserve"> the</w:t>
      </w:r>
      <w:r w:rsidR="00560287">
        <w:rPr>
          <w:lang w:eastAsia="zh-CN"/>
        </w:rPr>
        <w:t xml:space="preserve"> indication for UL/DL transmission is received</w:t>
      </w:r>
      <w:r w:rsidR="00D42EE8">
        <w:rPr>
          <w:lang w:eastAsia="zh-CN"/>
        </w:rPr>
        <w:t xml:space="preserve"> or stringent conditions of the DRX cycles</w:t>
      </w:r>
      <w:r>
        <w:rPr>
          <w:lang w:eastAsia="zh-CN"/>
        </w:rPr>
        <w:t xml:space="preserve"> among the active DRBs</w:t>
      </w:r>
      <w:r w:rsidR="00D42EE8">
        <w:rPr>
          <w:lang w:eastAsia="zh-CN"/>
        </w:rPr>
        <w:t xml:space="preserve"> without any signaling overhead.</w:t>
      </w:r>
      <w:r w:rsidR="00FA6715">
        <w:rPr>
          <w:lang w:eastAsia="zh-CN"/>
        </w:rPr>
        <w:t xml:space="preserve"> However, additional signaling would require if the DRB needs re-mapping of the DRX configuration due to new traffic arrival.</w:t>
      </w:r>
    </w:p>
    <w:p w14:paraId="794454FB" w14:textId="79A67220" w:rsidR="00FA6715" w:rsidRDefault="00EC3224" w:rsidP="001F0BD2">
      <w:r w:rsidRPr="0077190D">
        <w:rPr>
          <w:lang w:eastAsia="zh-CN"/>
        </w:rPr>
        <w:t xml:space="preserve">In other example, </w:t>
      </w:r>
      <w:r w:rsidR="00EB19BC" w:rsidRPr="0077190D">
        <w:rPr>
          <w:lang w:eastAsia="zh-CN"/>
        </w:rPr>
        <w:t xml:space="preserve">the </w:t>
      </w:r>
      <w:proofErr w:type="spellStart"/>
      <w:r w:rsidR="00EB19BC" w:rsidRPr="0077190D">
        <w:rPr>
          <w:lang w:eastAsia="zh-CN"/>
        </w:rPr>
        <w:t>gNB</w:t>
      </w:r>
      <w:proofErr w:type="spellEnd"/>
      <w:r w:rsidR="00EB19BC" w:rsidRPr="0077190D">
        <w:rPr>
          <w:lang w:eastAsia="zh-CN"/>
        </w:rPr>
        <w:t xml:space="preserve"> can just indicate</w:t>
      </w:r>
      <w:r w:rsidR="005E1EC9" w:rsidRPr="0077190D">
        <w:rPr>
          <w:lang w:eastAsia="zh-CN"/>
        </w:rPr>
        <w:t xml:space="preserve"> an</w:t>
      </w:r>
      <w:r w:rsidR="00EB19BC" w:rsidRPr="0077190D">
        <w:rPr>
          <w:lang w:eastAsia="zh-CN"/>
        </w:rPr>
        <w:t xml:space="preserve"> index of selected DRX configuration</w:t>
      </w:r>
      <w:r w:rsidR="006E59EA">
        <w:rPr>
          <w:lang w:eastAsia="zh-CN"/>
        </w:rPr>
        <w:t xml:space="preserve"> to be used</w:t>
      </w:r>
      <w:r w:rsidR="00EB19BC" w:rsidRPr="0077190D">
        <w:rPr>
          <w:lang w:eastAsia="zh-CN"/>
        </w:rPr>
        <w:t xml:space="preserve"> from the preconfigured DRX configurations. </w:t>
      </w:r>
      <w:r w:rsidR="008B0C5C" w:rsidRPr="0077190D">
        <w:rPr>
          <w:lang w:eastAsia="zh-CN"/>
        </w:rPr>
        <w:t xml:space="preserve">Although we can use RRC signaling to indicate </w:t>
      </w:r>
      <w:r w:rsidR="00EB19BC" w:rsidRPr="0077190D">
        <w:t xml:space="preserve">actual </w:t>
      </w:r>
      <w:r w:rsidRPr="0077190D">
        <w:t xml:space="preserve">DRX </w:t>
      </w:r>
      <w:r w:rsidR="00EB19BC" w:rsidRPr="0077190D">
        <w:t>configuration</w:t>
      </w:r>
      <w:r w:rsidR="008B0C5C" w:rsidRPr="0077190D">
        <w:t>, as mentioned above, it may not be desirable to frequently change DRX configuration</w:t>
      </w:r>
      <w:r w:rsidR="00DC277A" w:rsidRPr="0077190D">
        <w:t xml:space="preserve"> due to the concern of increasing RRC signaling over the air</w:t>
      </w:r>
      <w:r w:rsidR="008B0C5C" w:rsidRPr="0077190D">
        <w:t xml:space="preserve">. </w:t>
      </w:r>
      <w:r w:rsidR="00D42EE8">
        <w:t>L</w:t>
      </w:r>
      <w:r w:rsidR="008B0C5C" w:rsidRPr="0077190D">
        <w:t>ower layer signaling (</w:t>
      </w:r>
      <w:r w:rsidR="00560287">
        <w:t>MAC CE signaling</w:t>
      </w:r>
      <w:r w:rsidR="008B0C5C" w:rsidRPr="0077190D">
        <w:t>)</w:t>
      </w:r>
      <w:r w:rsidR="00060CB9" w:rsidRPr="0077190D">
        <w:t xml:space="preserve"> can be used</w:t>
      </w:r>
      <w:r w:rsidR="008B0C5C" w:rsidRPr="0077190D">
        <w:t xml:space="preserve"> to change DRX configuration</w:t>
      </w:r>
      <w:r w:rsidR="00FA6715">
        <w:t>.</w:t>
      </w:r>
    </w:p>
    <w:p w14:paraId="4D7C01C1" w14:textId="017520B4" w:rsidR="00FA6715" w:rsidRPr="0077190D" w:rsidRDefault="00FA6715" w:rsidP="00FA6715">
      <w:pPr>
        <w:pStyle w:val="Observationstyle"/>
      </w:pPr>
      <w:bookmarkStart w:id="24" w:name="_Toc473922531"/>
      <w:bookmarkStart w:id="25" w:name="_Toc473922889"/>
      <w:bookmarkStart w:id="26" w:name="_Toc473927099"/>
      <w:bookmarkStart w:id="27" w:name="_Toc473927740"/>
      <w:bookmarkStart w:id="28" w:name="_Toc473928365"/>
      <w:bookmarkStart w:id="29" w:name="_Toc478058086"/>
      <w:bookmarkStart w:id="30" w:name="_Toc478137841"/>
      <w:bookmarkStart w:id="31" w:name="_Toc478138370"/>
      <w:bookmarkStart w:id="32" w:name="_Toc478154644"/>
      <w:bookmarkStart w:id="33" w:name="_Toc478154706"/>
      <w:bookmarkStart w:id="34" w:name="_Toc478155498"/>
      <w:bookmarkStart w:id="35" w:name="_Toc478160227"/>
      <w:bookmarkStart w:id="36" w:name="_Toc481522855"/>
      <w:bookmarkStart w:id="37" w:name="_Toc481594192"/>
      <w:bookmarkStart w:id="38" w:name="_Toc481772410"/>
      <w:bookmarkStart w:id="39" w:name="_Toc481784181"/>
      <w:bookmarkStart w:id="40" w:name="_Toc485214374"/>
      <w:bookmarkStart w:id="41" w:name="_Toc485216227"/>
      <w:bookmarkStart w:id="42" w:name="_Toc485217569"/>
      <w:bookmarkStart w:id="43" w:name="_Toc485406508"/>
      <w:bookmarkStart w:id="44" w:name="_Toc485406918"/>
      <w:bookmarkStart w:id="45" w:name="_Toc485410969"/>
      <w:r w:rsidRPr="0077190D">
        <w:t>Lower layer signaling (</w:t>
      </w:r>
      <w:r w:rsidR="00560287">
        <w:t>e.g., MAC CE signaling</w:t>
      </w:r>
      <w:r w:rsidRPr="0077190D">
        <w:t>) can be used for UE to apply a given DRX configuration from a known group of DRX configurations.</w:t>
      </w:r>
      <w:bookmarkStart w:id="46" w:name="_Toc473922532"/>
      <w:bookmarkStart w:id="47" w:name="_Toc473922533"/>
      <w:bookmarkStart w:id="48" w:name="_Toc471473046"/>
      <w:bookmarkStart w:id="49" w:name="_Toc47392253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95C3323" w14:textId="67483753" w:rsidR="00FA6715" w:rsidRPr="0077190D" w:rsidRDefault="00FA6715" w:rsidP="00FA6715">
      <w:r w:rsidRPr="0077190D">
        <w:t xml:space="preserve">It is to note that RAN2 will have to study the reliability concerns that came due to the usage of the L1/L2 signaling. For example, MAC CE can be used for signaling to UE to apply a pre-configured DRX. In case there is HARQ failure or ACK/NACK error, there is will be miss-match of DRX configuration between UE and </w:t>
      </w:r>
      <w:proofErr w:type="spellStart"/>
      <w:r w:rsidRPr="0077190D">
        <w:t>gNB</w:t>
      </w:r>
      <w:proofErr w:type="spellEnd"/>
      <w:r w:rsidRPr="0077190D">
        <w:t xml:space="preserve"> which is undesirable.</w:t>
      </w:r>
      <w:r>
        <w:t xml:space="preserve"> An option to improve the reliability of the signaling is to repeat it multiple times.</w:t>
      </w:r>
    </w:p>
    <w:p w14:paraId="5122A061" w14:textId="1AE4DFB3" w:rsidR="00FA6715" w:rsidRPr="0077190D" w:rsidRDefault="00FA6715" w:rsidP="00FA6715">
      <w:pPr>
        <w:pStyle w:val="Recommend-1"/>
        <w:rPr>
          <w:lang w:val="en-GB"/>
        </w:rPr>
      </w:pPr>
      <w:bookmarkStart w:id="50" w:name="_Toc473922536"/>
      <w:bookmarkStart w:id="51" w:name="_Toc473922896"/>
      <w:bookmarkStart w:id="52" w:name="_Toc473927101"/>
      <w:bookmarkStart w:id="53" w:name="_Toc473927742"/>
      <w:bookmarkStart w:id="54" w:name="_Toc473928367"/>
      <w:bookmarkStart w:id="55" w:name="_Toc477470781"/>
      <w:bookmarkStart w:id="56" w:name="_Toc477685763"/>
      <w:bookmarkStart w:id="57" w:name="_Toc478058089"/>
      <w:bookmarkStart w:id="58" w:name="_Toc478077717"/>
      <w:bookmarkStart w:id="59" w:name="_Toc478137845"/>
      <w:bookmarkStart w:id="60" w:name="_Toc478138374"/>
      <w:bookmarkStart w:id="61" w:name="_Toc478154647"/>
      <w:bookmarkStart w:id="62" w:name="_Toc478154696"/>
      <w:bookmarkStart w:id="63" w:name="_Toc478155501"/>
      <w:bookmarkStart w:id="64" w:name="_Toc478160230"/>
      <w:bookmarkStart w:id="65" w:name="_Toc481522862"/>
      <w:bookmarkStart w:id="66" w:name="_Toc481594196"/>
      <w:bookmarkStart w:id="67" w:name="_Toc481772427"/>
      <w:bookmarkStart w:id="68" w:name="_Toc481772603"/>
      <w:bookmarkStart w:id="69" w:name="_Toc481772835"/>
      <w:bookmarkStart w:id="70" w:name="_Toc481784185"/>
      <w:bookmarkStart w:id="71" w:name="_Toc485214380"/>
      <w:bookmarkStart w:id="72" w:name="_Toc485216230"/>
      <w:bookmarkStart w:id="73" w:name="_Toc485406512"/>
      <w:bookmarkStart w:id="74" w:name="_Toc485406920"/>
      <w:bookmarkStart w:id="75" w:name="_Toc485410972"/>
      <w:bookmarkStart w:id="76" w:name="_Toc485410999"/>
      <w:r w:rsidRPr="0077190D">
        <w:rPr>
          <w:b/>
          <w:lang w:eastAsia="en-US"/>
        </w:rPr>
        <w:t>Lower layer signaling</w:t>
      </w:r>
      <w:r w:rsidR="00B875EA">
        <w:rPr>
          <w:b/>
          <w:lang w:eastAsia="en-US"/>
        </w:rPr>
        <w:t xml:space="preserve"> </w:t>
      </w:r>
      <w:r w:rsidR="00B875EA" w:rsidRPr="00B875EA">
        <w:rPr>
          <w:b/>
        </w:rPr>
        <w:t>(e.g., MAC CE signaling)</w:t>
      </w:r>
      <w:r w:rsidRPr="0077190D">
        <w:rPr>
          <w:b/>
          <w:lang w:eastAsia="en-US"/>
        </w:rPr>
        <w:t xml:space="preserve"> is used for indicating a DRX configuration to be used by a UE if reliability issue </w:t>
      </w:r>
      <w:r w:rsidR="003D57A0">
        <w:rPr>
          <w:b/>
          <w:lang w:eastAsia="en-US"/>
        </w:rPr>
        <w:t>can be</w:t>
      </w:r>
      <w:r w:rsidR="003D57A0" w:rsidRPr="0077190D">
        <w:rPr>
          <w:b/>
          <w:lang w:eastAsia="en-US"/>
        </w:rPr>
        <w:t xml:space="preserve"> </w:t>
      </w:r>
      <w:r w:rsidRPr="0077190D">
        <w:rPr>
          <w:b/>
          <w:lang w:eastAsia="en-US"/>
        </w:rPr>
        <w:t>addressed.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262E67A" w14:textId="77777777" w:rsidR="006E3858" w:rsidRPr="0077190D" w:rsidRDefault="006E3858" w:rsidP="00822E6C">
      <w:pPr>
        <w:pStyle w:val="Heading2"/>
      </w:pPr>
      <w:bookmarkStart w:id="77" w:name="_Toc465868500"/>
      <w:bookmarkStart w:id="78" w:name="_Toc466027729"/>
      <w:bookmarkStart w:id="79" w:name="_Toc466028396"/>
      <w:bookmarkStart w:id="80" w:name="_Toc466040661"/>
      <w:bookmarkStart w:id="81" w:name="_Toc466045641"/>
      <w:bookmarkStart w:id="82" w:name="_Toc466045664"/>
      <w:bookmarkStart w:id="83" w:name="_Toc466061037"/>
      <w:bookmarkStart w:id="84" w:name="_Toc466061104"/>
      <w:bookmarkStart w:id="85" w:name="_Toc466061858"/>
      <w:bookmarkStart w:id="86" w:name="_Toc468890154"/>
      <w:bookmarkStart w:id="87" w:name="_Toc471160386"/>
      <w:bookmarkStart w:id="88" w:name="_Toc471307474"/>
      <w:bookmarkStart w:id="89" w:name="_Toc471472873"/>
      <w:bookmarkStart w:id="90" w:name="_Toc471472941"/>
      <w:bookmarkStart w:id="91" w:name="_Toc471473047"/>
      <w:bookmarkStart w:id="92" w:name="_Toc471489994"/>
      <w:bookmarkStart w:id="93" w:name="_Toc471490348"/>
      <w:bookmarkStart w:id="94" w:name="_Toc473647365"/>
      <w:bookmarkStart w:id="95" w:name="_Toc473756685"/>
      <w:bookmarkStart w:id="96" w:name="_Toc473839300"/>
      <w:bookmarkStart w:id="97" w:name="_Toc473903704"/>
      <w:r w:rsidRPr="0077190D">
        <w:t>Unit of the DRX parameters</w:t>
      </w:r>
    </w:p>
    <w:p w14:paraId="47308813" w14:textId="77777777" w:rsidR="006E3858" w:rsidRPr="0077190D" w:rsidRDefault="006E3858" w:rsidP="006E3858">
      <w:pPr>
        <w:rPr>
          <w:lang w:val="en-GB" w:eastAsia="x-none"/>
        </w:rPr>
      </w:pPr>
      <w:r w:rsidRPr="0077190D">
        <w:rPr>
          <w:lang w:val="en-GB" w:eastAsia="x-none"/>
        </w:rPr>
        <w:t>Based on the RAN2 agreement, in NR, At least the following DRX parameters need to be configured to a UE.</w:t>
      </w:r>
    </w:p>
    <w:p w14:paraId="2BE10BC2" w14:textId="77777777" w:rsidR="006E3858" w:rsidRPr="0077190D" w:rsidRDefault="006E3858" w:rsidP="006E3858">
      <w:pPr>
        <w:pStyle w:val="ListParagraph"/>
        <w:numPr>
          <w:ilvl w:val="0"/>
          <w:numId w:val="19"/>
        </w:numPr>
        <w:rPr>
          <w:lang w:val="en-GB" w:eastAsia="x-none"/>
        </w:rPr>
      </w:pPr>
      <w:r w:rsidRPr="0077190D">
        <w:rPr>
          <w:lang w:val="en-GB" w:eastAsia="x-none"/>
        </w:rPr>
        <w:t>ON duration timer</w:t>
      </w:r>
    </w:p>
    <w:p w14:paraId="738CD68F" w14:textId="77777777" w:rsidR="006E3858" w:rsidRPr="0077190D" w:rsidRDefault="006E3858" w:rsidP="006E3858">
      <w:pPr>
        <w:pStyle w:val="ListParagraph"/>
        <w:numPr>
          <w:ilvl w:val="0"/>
          <w:numId w:val="19"/>
        </w:numPr>
        <w:rPr>
          <w:lang w:val="en-GB" w:eastAsia="x-none"/>
        </w:rPr>
      </w:pPr>
      <w:r w:rsidRPr="0077190D">
        <w:rPr>
          <w:lang w:val="en-GB" w:eastAsia="x-none"/>
        </w:rPr>
        <w:lastRenderedPageBreak/>
        <w:t>DRX inactivity timer</w:t>
      </w:r>
    </w:p>
    <w:p w14:paraId="7D1017EB" w14:textId="77777777" w:rsidR="006E3858" w:rsidRPr="0077190D" w:rsidRDefault="006E3858" w:rsidP="006E3858">
      <w:pPr>
        <w:pStyle w:val="ListParagraph"/>
        <w:numPr>
          <w:ilvl w:val="0"/>
          <w:numId w:val="19"/>
        </w:numPr>
        <w:rPr>
          <w:lang w:val="en-GB" w:eastAsia="x-none"/>
        </w:rPr>
      </w:pPr>
      <w:r w:rsidRPr="0077190D">
        <w:rPr>
          <w:lang w:val="en-GB" w:eastAsia="x-none"/>
        </w:rPr>
        <w:t>DRX retransmission timer</w:t>
      </w:r>
    </w:p>
    <w:p w14:paraId="6D7288D5" w14:textId="77777777" w:rsidR="006E3858" w:rsidRPr="0077190D" w:rsidRDefault="006E3858" w:rsidP="006E3858">
      <w:pPr>
        <w:pStyle w:val="ListParagraph"/>
        <w:numPr>
          <w:ilvl w:val="0"/>
          <w:numId w:val="19"/>
        </w:numPr>
        <w:rPr>
          <w:lang w:val="en-GB" w:eastAsia="x-none"/>
        </w:rPr>
      </w:pPr>
      <w:r w:rsidRPr="0077190D">
        <w:rPr>
          <w:lang w:val="en-GB" w:eastAsia="x-none"/>
        </w:rPr>
        <w:t>DRX UL retransmission timer</w:t>
      </w:r>
    </w:p>
    <w:p w14:paraId="5DF833F6" w14:textId="77777777" w:rsidR="006E3858" w:rsidRPr="0077190D" w:rsidRDefault="006E3858" w:rsidP="006E3858">
      <w:pPr>
        <w:pStyle w:val="ListParagraph"/>
        <w:numPr>
          <w:ilvl w:val="0"/>
          <w:numId w:val="19"/>
        </w:numPr>
        <w:rPr>
          <w:lang w:val="en-GB" w:eastAsia="x-none"/>
        </w:rPr>
      </w:pPr>
      <w:r w:rsidRPr="0077190D">
        <w:rPr>
          <w:lang w:val="en-GB" w:eastAsia="x-none"/>
        </w:rPr>
        <w:t>Short DRX cycle and long DRX cycle</w:t>
      </w:r>
    </w:p>
    <w:p w14:paraId="15EE4374" w14:textId="76AF2235" w:rsidR="006E3858" w:rsidRPr="0077190D" w:rsidRDefault="006E3858" w:rsidP="006E3858">
      <w:pPr>
        <w:rPr>
          <w:lang w:val="en-GB" w:eastAsia="x-none"/>
        </w:rPr>
      </w:pPr>
      <w:r w:rsidRPr="0077190D">
        <w:rPr>
          <w:lang w:val="en-GB" w:eastAsia="x-none"/>
        </w:rPr>
        <w:t xml:space="preserve">In </w:t>
      </w:r>
      <w:r w:rsidR="00C90D6F" w:rsidRPr="0077190D">
        <w:rPr>
          <w:lang w:val="en-GB" w:eastAsia="x-none"/>
        </w:rPr>
        <w:t>LTE</w:t>
      </w:r>
      <w:r w:rsidRPr="0077190D">
        <w:rPr>
          <w:lang w:val="en-GB" w:eastAsia="x-none"/>
        </w:rPr>
        <w:t xml:space="preserve">, ON duration timer and DRX inactivity timer are MAC entity specific. </w:t>
      </w:r>
      <w:r w:rsidR="00C90D6F" w:rsidRPr="0077190D">
        <w:rPr>
          <w:lang w:val="en-GB" w:eastAsia="x-none"/>
        </w:rPr>
        <w:t>In NR</w:t>
      </w:r>
      <w:r w:rsidR="0077190D" w:rsidRPr="0077190D">
        <w:rPr>
          <w:lang w:val="en-GB" w:eastAsia="x-none"/>
        </w:rPr>
        <w:t>, these</w:t>
      </w:r>
      <w:r w:rsidRPr="0077190D">
        <w:rPr>
          <w:lang w:val="en-GB" w:eastAsia="x-none"/>
        </w:rPr>
        <w:t xml:space="preserve"> timers </w:t>
      </w:r>
      <w:r w:rsidR="00C90D6F" w:rsidRPr="0077190D">
        <w:rPr>
          <w:lang w:val="en-GB" w:eastAsia="x-none"/>
        </w:rPr>
        <w:t>may dependent on</w:t>
      </w:r>
      <w:r w:rsidRPr="0077190D">
        <w:rPr>
          <w:lang w:val="en-GB" w:eastAsia="x-none"/>
        </w:rPr>
        <w:t xml:space="preserve"> numerology/TTI lengths. It is already agreed that UE monitors the PDCCH occasions. The unit of these timers can be in PDCCH </w:t>
      </w:r>
      <w:r w:rsidR="00A22257" w:rsidRPr="0077190D">
        <w:rPr>
          <w:lang w:val="en-GB" w:eastAsia="x-none"/>
        </w:rPr>
        <w:t>slot</w:t>
      </w:r>
      <w:r w:rsidRPr="0077190D">
        <w:rPr>
          <w:lang w:val="en-GB" w:eastAsia="x-none"/>
        </w:rPr>
        <w:t xml:space="preserve"> to monitor the PDCCH occasions of a reference </w:t>
      </w:r>
      <w:r w:rsidR="00A22257" w:rsidRPr="0077190D">
        <w:rPr>
          <w:lang w:val="en-GB" w:eastAsia="x-none"/>
        </w:rPr>
        <w:t>numerology/</w:t>
      </w:r>
      <w:r w:rsidRPr="0077190D">
        <w:rPr>
          <w:lang w:val="en-GB" w:eastAsia="x-none"/>
        </w:rPr>
        <w:t xml:space="preserve">TTI. The reference TTI </w:t>
      </w:r>
      <w:r w:rsidR="00DF5E8E" w:rsidRPr="0077190D">
        <w:rPr>
          <w:lang w:val="en-GB" w:eastAsia="x-none"/>
        </w:rPr>
        <w:t>can</w:t>
      </w:r>
      <w:r w:rsidRPr="0077190D">
        <w:rPr>
          <w:lang w:val="en-GB" w:eastAsia="x-none"/>
        </w:rPr>
        <w:t xml:space="preserve"> be explicitly defined or pre-configured</w:t>
      </w:r>
      <w:r w:rsidR="00D1021A">
        <w:rPr>
          <w:lang w:val="en-GB" w:eastAsia="x-none"/>
        </w:rPr>
        <w:t xml:space="preserve"> per MAC entity</w:t>
      </w:r>
      <w:r w:rsidR="00C90D6F" w:rsidRPr="0077190D">
        <w:rPr>
          <w:lang w:val="en-GB" w:eastAsia="x-none"/>
        </w:rPr>
        <w:t xml:space="preserve"> to be one of the numerology/TTI in use</w:t>
      </w:r>
      <w:r w:rsidRPr="0077190D">
        <w:rPr>
          <w:lang w:val="en-GB" w:eastAsia="x-none"/>
        </w:rPr>
        <w:t xml:space="preserve"> by RRC. A </w:t>
      </w:r>
      <w:proofErr w:type="spellStart"/>
      <w:r w:rsidRPr="0077190D">
        <w:rPr>
          <w:lang w:val="en-GB" w:eastAsia="x-none"/>
        </w:rPr>
        <w:t>subframe</w:t>
      </w:r>
      <w:proofErr w:type="spellEnd"/>
      <w:r w:rsidRPr="0077190D">
        <w:rPr>
          <w:lang w:val="en-GB" w:eastAsia="x-none"/>
        </w:rPr>
        <w:t xml:space="preserve"> may contain multiple PDCCH slots</w:t>
      </w:r>
      <w:r w:rsidR="00C90D6F" w:rsidRPr="0077190D">
        <w:rPr>
          <w:lang w:val="en-GB" w:eastAsia="x-none"/>
        </w:rPr>
        <w:t>. It is also possible that the timers are independent of numerology/TTI</w:t>
      </w:r>
      <w:r w:rsidR="00A05895" w:rsidRPr="0077190D">
        <w:rPr>
          <w:lang w:val="en-GB" w:eastAsia="x-none"/>
        </w:rPr>
        <w:t>,</w:t>
      </w:r>
      <w:r w:rsidR="00C90D6F" w:rsidRPr="0077190D">
        <w:rPr>
          <w:lang w:val="en-GB" w:eastAsia="x-none"/>
        </w:rPr>
        <w:t xml:space="preserve"> which may not be suitable for UEs which support only very short TTI</w:t>
      </w:r>
      <w:r w:rsidRPr="0077190D">
        <w:rPr>
          <w:lang w:val="en-GB" w:eastAsia="x-none"/>
        </w:rPr>
        <w:t>.</w:t>
      </w:r>
      <w:r w:rsidR="000F1F20">
        <w:rPr>
          <w:lang w:val="en-GB" w:eastAsia="x-none"/>
        </w:rPr>
        <w:t xml:space="preserve"> </w:t>
      </w:r>
    </w:p>
    <w:p w14:paraId="709E7FDF" w14:textId="475AC603" w:rsidR="006E3858" w:rsidRPr="003010EA" w:rsidRDefault="00D1021A" w:rsidP="006E3858">
      <w:pPr>
        <w:pStyle w:val="Recommend-1"/>
        <w:rPr>
          <w:b/>
          <w:lang w:val="en-GB"/>
        </w:rPr>
      </w:pPr>
      <w:bookmarkStart w:id="98" w:name="_Toc481772604"/>
      <w:bookmarkStart w:id="99" w:name="_Toc481772836"/>
      <w:bookmarkStart w:id="100" w:name="_Toc481784186"/>
      <w:bookmarkStart w:id="101" w:name="_Toc484621493"/>
      <w:bookmarkStart w:id="102" w:name="_Toc485214381"/>
      <w:bookmarkStart w:id="103" w:name="_Toc485216231"/>
      <w:bookmarkStart w:id="104" w:name="_Toc485406513"/>
      <w:bookmarkStart w:id="105" w:name="_Toc485406921"/>
      <w:bookmarkStart w:id="106" w:name="_Toc481772605"/>
      <w:bookmarkStart w:id="107" w:name="_Toc481772837"/>
      <w:bookmarkStart w:id="108" w:name="_Toc481594197"/>
      <w:bookmarkStart w:id="109" w:name="_Toc485410973"/>
      <w:bookmarkStart w:id="110" w:name="_Toc485411000"/>
      <w:bookmarkEnd w:id="98"/>
      <w:bookmarkEnd w:id="99"/>
      <w:r w:rsidRPr="003010EA">
        <w:rPr>
          <w:b/>
          <w:lang w:val="en-GB"/>
        </w:rPr>
        <w:t>T</w:t>
      </w:r>
      <w:r w:rsidR="00DF5E8E" w:rsidRPr="003010EA">
        <w:rPr>
          <w:b/>
          <w:lang w:val="en-GB"/>
        </w:rPr>
        <w:t>he</w:t>
      </w:r>
      <w:r w:rsidR="00DF5E8E" w:rsidRPr="003010EA" w:rsidDel="001A0D01">
        <w:rPr>
          <w:b/>
          <w:lang w:val="en-GB"/>
        </w:rPr>
        <w:t xml:space="preserve"> </w:t>
      </w:r>
      <w:bookmarkStart w:id="111" w:name="_Toc481772429"/>
      <w:r w:rsidR="001A0D01" w:rsidRPr="003010EA">
        <w:rPr>
          <w:b/>
          <w:lang w:val="en-GB"/>
        </w:rPr>
        <w:t>u</w:t>
      </w:r>
      <w:r w:rsidR="006E3858" w:rsidRPr="003010EA">
        <w:rPr>
          <w:b/>
          <w:lang w:val="en-GB"/>
        </w:rPr>
        <w:t xml:space="preserve">nit of ON duration timer and DRX inactivity timer </w:t>
      </w:r>
      <w:r w:rsidRPr="003010EA">
        <w:rPr>
          <w:b/>
          <w:lang w:val="en-GB"/>
        </w:rPr>
        <w:t>is in number of PDCCH slot</w:t>
      </w:r>
      <w:r w:rsidR="003D57A0" w:rsidRPr="003010EA">
        <w:rPr>
          <w:b/>
          <w:lang w:val="en-GB"/>
        </w:rPr>
        <w:t>s</w:t>
      </w:r>
      <w:r w:rsidRPr="003010EA">
        <w:rPr>
          <w:b/>
          <w:lang w:val="en-GB"/>
        </w:rPr>
        <w:t xml:space="preserve"> </w:t>
      </w:r>
      <w:r w:rsidR="001A0D01" w:rsidRPr="003010EA">
        <w:rPr>
          <w:b/>
          <w:lang w:val="en-GB"/>
        </w:rPr>
        <w:t xml:space="preserve">of </w:t>
      </w:r>
      <w:r w:rsidRPr="003010EA">
        <w:rPr>
          <w:b/>
          <w:lang w:val="en-GB"/>
        </w:rPr>
        <w:t>the reference numerology</w:t>
      </w:r>
      <w:r w:rsidR="001A0D01" w:rsidRPr="003010EA">
        <w:rPr>
          <w:b/>
          <w:lang w:val="en-GB"/>
        </w:rPr>
        <w:t>.</w:t>
      </w:r>
      <w:bookmarkEnd w:id="100"/>
      <w:bookmarkEnd w:id="101"/>
      <w:bookmarkEnd w:id="102"/>
      <w:bookmarkEnd w:id="103"/>
      <w:bookmarkEnd w:id="104"/>
      <w:bookmarkEnd w:id="105"/>
      <w:bookmarkEnd w:id="109"/>
      <w:bookmarkEnd w:id="110"/>
      <w:r w:rsidR="00F73BA4" w:rsidRPr="003010EA">
        <w:rPr>
          <w:b/>
          <w:lang w:val="en-GB"/>
        </w:rPr>
        <w:t xml:space="preserve"> </w:t>
      </w:r>
      <w:bookmarkEnd w:id="106"/>
      <w:bookmarkEnd w:id="107"/>
      <w:bookmarkEnd w:id="108"/>
      <w:bookmarkEnd w:id="111"/>
    </w:p>
    <w:p w14:paraId="0B9C79D6" w14:textId="3F289780" w:rsidR="006E3858" w:rsidRPr="0077190D" w:rsidRDefault="006E3858" w:rsidP="006E3858">
      <w:pPr>
        <w:rPr>
          <w:lang w:val="en-GB"/>
        </w:rPr>
      </w:pPr>
      <w:r w:rsidRPr="0077190D">
        <w:rPr>
          <w:lang w:val="en-GB"/>
        </w:rPr>
        <w:t>Following agreements were made by RAN2 in the shortened TTI discussions for LTE [1</w:t>
      </w:r>
      <w:r w:rsidR="0041666B" w:rsidRPr="0077190D">
        <w:rPr>
          <w:lang w:val="en-GB"/>
        </w:rPr>
        <w:t>]</w:t>
      </w:r>
      <w:r w:rsidR="0041666B">
        <w:rPr>
          <w:lang w:val="en-GB"/>
        </w:rPr>
        <w:t xml:space="preserve"> [2]</w:t>
      </w:r>
    </w:p>
    <w:p w14:paraId="0CFAC8E8" w14:textId="3B58DE04" w:rsidR="006E3858" w:rsidRDefault="006E3858" w:rsidP="0041666B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overflowPunct/>
        <w:autoSpaceDE/>
        <w:autoSpaceDN/>
        <w:adjustRightInd/>
        <w:spacing w:before="40" w:after="0"/>
        <w:rPr>
          <w:bCs/>
          <w:i/>
          <w:noProof/>
        </w:rPr>
      </w:pPr>
      <w:r w:rsidRPr="0077190D">
        <w:rPr>
          <w:b/>
          <w:i/>
          <w:lang w:eastAsia="zh-CN"/>
        </w:rPr>
        <w:t xml:space="preserve"> </w:t>
      </w:r>
      <w:r w:rsidRPr="0077190D">
        <w:rPr>
          <w:bCs/>
          <w:i/>
          <w:noProof/>
        </w:rPr>
        <w:t>The unit for</w:t>
      </w:r>
      <w:r w:rsidRPr="0077190D">
        <w:rPr>
          <w:b/>
          <w:bCs/>
          <w:i/>
          <w:noProof/>
        </w:rPr>
        <w:t xml:space="preserve"> drx-RetransmissionTimer, </w:t>
      </w:r>
      <w:proofErr w:type="spellStart"/>
      <w:r w:rsidRPr="0077190D">
        <w:rPr>
          <w:b/>
          <w:i/>
        </w:rPr>
        <w:t>drx-ULRetransmissionTimer</w:t>
      </w:r>
      <w:proofErr w:type="spellEnd"/>
      <w:r w:rsidRPr="0077190D">
        <w:rPr>
          <w:bCs/>
          <w:i/>
          <w:noProof/>
        </w:rPr>
        <w:t xml:space="preserve"> counting is same as the HARQ RTT time expiry that starts the retransmission time, i.e. depending on the TTI length of the TB that is under retransmission.</w:t>
      </w:r>
      <w:r w:rsidR="00D1021A">
        <w:rPr>
          <w:bCs/>
          <w:i/>
          <w:noProof/>
        </w:rPr>
        <w:t xml:space="preserve"> </w:t>
      </w:r>
    </w:p>
    <w:p w14:paraId="68C267ED" w14:textId="0519DF1F" w:rsidR="0041666B" w:rsidRPr="0077190D" w:rsidRDefault="0041666B" w:rsidP="0041666B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overflowPunct/>
        <w:autoSpaceDE/>
        <w:autoSpaceDN/>
        <w:adjustRightInd/>
        <w:spacing w:before="40" w:after="0"/>
        <w:rPr>
          <w:bCs/>
          <w:i/>
          <w:noProof/>
        </w:rPr>
      </w:pPr>
      <w:proofErr w:type="spellStart"/>
      <w:r w:rsidRPr="0041666B">
        <w:rPr>
          <w:rFonts w:cs="Arial"/>
          <w:b/>
          <w:i/>
          <w:lang w:eastAsia="ko-KR"/>
        </w:rPr>
        <w:t>drx-RetransmissionTimer</w:t>
      </w:r>
      <w:proofErr w:type="spellEnd"/>
      <w:r>
        <w:rPr>
          <w:rFonts w:cs="Arial"/>
          <w:lang w:eastAsia="ko-KR"/>
        </w:rPr>
        <w:t xml:space="preserve">, and </w:t>
      </w:r>
      <w:proofErr w:type="spellStart"/>
      <w:r w:rsidRPr="0041666B">
        <w:rPr>
          <w:rFonts w:cs="Arial"/>
          <w:b/>
          <w:i/>
          <w:lang w:eastAsia="ko-KR"/>
        </w:rPr>
        <w:t>drx-ULRetransmissionTimer</w:t>
      </w:r>
      <w:proofErr w:type="spellEnd"/>
      <w:r>
        <w:rPr>
          <w:rFonts w:cs="Arial"/>
          <w:i/>
          <w:lang w:eastAsia="ko-KR"/>
        </w:rPr>
        <w:t xml:space="preserve"> </w:t>
      </w:r>
      <w:r>
        <w:rPr>
          <w:rFonts w:cs="Arial"/>
          <w:lang w:eastAsia="ko-KR"/>
        </w:rPr>
        <w:t xml:space="preserve">for </w:t>
      </w:r>
      <w:proofErr w:type="spellStart"/>
      <w:r>
        <w:rPr>
          <w:rFonts w:cs="Arial"/>
          <w:lang w:eastAsia="ko-KR"/>
        </w:rPr>
        <w:t>sTTI</w:t>
      </w:r>
      <w:proofErr w:type="spellEnd"/>
      <w:r>
        <w:rPr>
          <w:rFonts w:cs="Arial"/>
          <w:lang w:eastAsia="ko-KR"/>
        </w:rPr>
        <w:t xml:space="preserve"> can be configured independently</w:t>
      </w:r>
    </w:p>
    <w:p w14:paraId="0BFA2EAC" w14:textId="77777777" w:rsidR="006E3858" w:rsidRPr="0041666B" w:rsidRDefault="006E3858" w:rsidP="0041666B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overflowPunct/>
        <w:autoSpaceDE/>
        <w:autoSpaceDN/>
        <w:adjustRightInd/>
        <w:spacing w:before="40" w:after="0"/>
        <w:rPr>
          <w:lang w:val="en-GB"/>
        </w:rPr>
      </w:pPr>
      <w:r w:rsidRPr="0077190D">
        <w:rPr>
          <w:bCs/>
          <w:i/>
          <w:noProof/>
        </w:rPr>
        <w:t xml:space="preserve">Legacy </w:t>
      </w:r>
      <w:r w:rsidRPr="0077190D">
        <w:rPr>
          <w:b/>
          <w:bCs/>
          <w:i/>
          <w:noProof/>
        </w:rPr>
        <w:t xml:space="preserve">DRX Cycle </w:t>
      </w:r>
      <w:r w:rsidRPr="0077190D">
        <w:rPr>
          <w:bCs/>
          <w:i/>
          <w:noProof/>
        </w:rPr>
        <w:t>and</w:t>
      </w:r>
      <w:r w:rsidRPr="0077190D">
        <w:rPr>
          <w:b/>
          <w:bCs/>
          <w:i/>
          <w:noProof/>
        </w:rPr>
        <w:t xml:space="preserve"> drxShortCycleTimer</w:t>
      </w:r>
      <w:r w:rsidRPr="0077190D">
        <w:rPr>
          <w:bCs/>
          <w:i/>
          <w:noProof/>
        </w:rPr>
        <w:t xml:space="preserve"> are in number of subframes regardless of which TTI length is used.</w:t>
      </w:r>
    </w:p>
    <w:p w14:paraId="17707FA8" w14:textId="0BF34AAA" w:rsidR="0041666B" w:rsidRPr="0041666B" w:rsidRDefault="0041666B" w:rsidP="0041666B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overflowPunct/>
        <w:autoSpaceDE/>
        <w:autoSpaceDN/>
        <w:adjustRightInd/>
        <w:spacing w:before="40" w:after="0"/>
        <w:rPr>
          <w:lang w:val="en-GB"/>
        </w:rPr>
      </w:pPr>
      <w:r w:rsidRPr="0041666B">
        <w:rPr>
          <w:rFonts w:eastAsia="MS Mincho"/>
          <w:i/>
          <w:szCs w:val="24"/>
          <w:lang w:eastAsia="en-GB"/>
        </w:rPr>
        <w:t xml:space="preserve">Legacy </w:t>
      </w:r>
      <w:r w:rsidRPr="0041666B">
        <w:rPr>
          <w:rFonts w:eastAsia="MS Mincho"/>
          <w:b/>
          <w:bCs/>
          <w:i/>
          <w:noProof/>
          <w:szCs w:val="24"/>
          <w:lang w:eastAsia="en-GB"/>
        </w:rPr>
        <w:t>onDurationTimer</w:t>
      </w:r>
      <w:r w:rsidRPr="0041666B">
        <w:rPr>
          <w:rFonts w:eastAsia="MS Mincho"/>
          <w:bCs/>
          <w:i/>
          <w:noProof/>
          <w:szCs w:val="24"/>
          <w:lang w:eastAsia="en-GB"/>
        </w:rPr>
        <w:t xml:space="preserve"> and</w:t>
      </w:r>
      <w:r w:rsidRPr="0041666B">
        <w:rPr>
          <w:rFonts w:eastAsia="MS Mincho"/>
          <w:b/>
          <w:bCs/>
          <w:i/>
          <w:noProof/>
          <w:szCs w:val="24"/>
          <w:lang w:eastAsia="en-GB"/>
        </w:rPr>
        <w:t xml:space="preserve"> drx-InactivityTimer</w:t>
      </w:r>
      <w:r w:rsidRPr="0041666B">
        <w:rPr>
          <w:rFonts w:eastAsia="MS Mincho"/>
          <w:i/>
          <w:szCs w:val="24"/>
          <w:lang w:eastAsia="en-GB"/>
        </w:rPr>
        <w:t xml:space="preserve"> counts number of PDCCH-</w:t>
      </w:r>
      <w:proofErr w:type="spellStart"/>
      <w:r w:rsidRPr="0041666B">
        <w:rPr>
          <w:rFonts w:eastAsia="MS Mincho"/>
          <w:i/>
          <w:szCs w:val="24"/>
          <w:lang w:eastAsia="en-GB"/>
        </w:rPr>
        <w:t>subframes</w:t>
      </w:r>
      <w:proofErr w:type="spellEnd"/>
      <w:r w:rsidRPr="0041666B">
        <w:rPr>
          <w:rFonts w:eastAsia="MS Mincho"/>
          <w:i/>
          <w:szCs w:val="24"/>
          <w:lang w:eastAsia="en-GB"/>
        </w:rPr>
        <w:t xml:space="preserve"> regardless of which TTI length is used.</w:t>
      </w:r>
    </w:p>
    <w:p w14:paraId="119E5C60" w14:textId="034A91B7" w:rsidR="0041666B" w:rsidRPr="0041666B" w:rsidRDefault="0041666B" w:rsidP="0041666B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overflowPunct/>
        <w:autoSpaceDE/>
        <w:autoSpaceDN/>
        <w:adjustRightInd/>
        <w:spacing w:before="40" w:after="0"/>
        <w:rPr>
          <w:i/>
          <w:lang w:val="en-GB"/>
        </w:rPr>
      </w:pPr>
      <w:r w:rsidRPr="0041666B">
        <w:rPr>
          <w:i/>
        </w:rPr>
        <w:t xml:space="preserve">A single </w:t>
      </w:r>
      <w:proofErr w:type="spellStart"/>
      <w:r w:rsidRPr="0041666B">
        <w:rPr>
          <w:b/>
          <w:i/>
        </w:rPr>
        <w:t>drx-InactivityTimer</w:t>
      </w:r>
      <w:proofErr w:type="spellEnd"/>
      <w:r w:rsidRPr="0041666B">
        <w:rPr>
          <w:i/>
        </w:rPr>
        <w:t xml:space="preserve">, DRX Cycle is configured.  </w:t>
      </w:r>
    </w:p>
    <w:p w14:paraId="17DD2D6A" w14:textId="085754D7" w:rsidR="006E3858" w:rsidRPr="0077190D" w:rsidRDefault="006E3858" w:rsidP="006E3858">
      <w:pPr>
        <w:rPr>
          <w:lang w:val="en-GB"/>
        </w:rPr>
      </w:pPr>
      <w:r w:rsidRPr="0077190D">
        <w:rPr>
          <w:lang w:val="en-GB"/>
        </w:rPr>
        <w:t xml:space="preserve">These agreements are also relevant to NR as a UE can support multiple TTIs. Since DRX retransmission timer is specific to a HARQ process, the unit needs to be same as that of HARQ RTT timer. The HARQ RTT timer depends on the processing time of a TB and the processing time may not be in the granularity of a </w:t>
      </w:r>
      <w:proofErr w:type="spellStart"/>
      <w:r w:rsidRPr="0077190D">
        <w:rPr>
          <w:lang w:val="en-GB"/>
        </w:rPr>
        <w:t>subframe</w:t>
      </w:r>
      <w:proofErr w:type="spellEnd"/>
      <w:r w:rsidRPr="0077190D">
        <w:rPr>
          <w:lang w:val="en-GB"/>
        </w:rPr>
        <w:t>. It can be in the number of TTI length of the TB that triggered the HARQ RTT timer.</w:t>
      </w:r>
      <w:r w:rsidR="00D42EE8">
        <w:rPr>
          <w:lang w:val="en-GB"/>
        </w:rPr>
        <w:t xml:space="preserve"> For example, for a TB with HARQ process 0, the DRX retransmission timer can be x TTI of the TB and for another TB with HARQ process 1, the DRX retransmission timer can be y TTI of the TB.</w:t>
      </w:r>
    </w:p>
    <w:p w14:paraId="1B240670" w14:textId="6C703683" w:rsidR="006E3858" w:rsidRPr="003265A3" w:rsidRDefault="006E3858" w:rsidP="006E3858">
      <w:pPr>
        <w:pStyle w:val="Recommend-1"/>
        <w:rPr>
          <w:b/>
          <w:lang w:val="en-GB"/>
        </w:rPr>
      </w:pPr>
      <w:bookmarkStart w:id="112" w:name="_Toc481594198"/>
      <w:bookmarkStart w:id="113" w:name="_Toc481772430"/>
      <w:bookmarkStart w:id="114" w:name="_Toc481772606"/>
      <w:bookmarkStart w:id="115" w:name="_Toc481772838"/>
      <w:bookmarkStart w:id="116" w:name="_Toc481784187"/>
      <w:bookmarkStart w:id="117" w:name="_Toc484621494"/>
      <w:bookmarkStart w:id="118" w:name="_Toc485214382"/>
      <w:bookmarkStart w:id="119" w:name="_Toc485216232"/>
      <w:bookmarkStart w:id="120" w:name="_Toc485406514"/>
      <w:bookmarkStart w:id="121" w:name="_Toc485406922"/>
      <w:bookmarkStart w:id="122" w:name="_Toc485410974"/>
      <w:bookmarkStart w:id="123" w:name="_Toc485411001"/>
      <w:r w:rsidRPr="003265A3">
        <w:rPr>
          <w:b/>
          <w:lang w:val="en-GB"/>
        </w:rPr>
        <w:t>Unit of DRX retransmission timers</w:t>
      </w:r>
      <w:r w:rsidR="00DF5E8E" w:rsidRPr="003265A3">
        <w:rPr>
          <w:b/>
          <w:lang w:val="en-GB"/>
        </w:rPr>
        <w:t xml:space="preserve"> </w:t>
      </w:r>
      <w:r w:rsidRPr="003265A3">
        <w:rPr>
          <w:b/>
          <w:lang w:val="en-GB"/>
        </w:rPr>
        <w:t xml:space="preserve">is </w:t>
      </w:r>
      <w:r w:rsidR="002A2AF2" w:rsidRPr="003265A3">
        <w:rPr>
          <w:b/>
          <w:lang w:val="en-GB"/>
        </w:rPr>
        <w:t>in the number of the TTI length of the TB</w:t>
      </w:r>
      <w:r w:rsidR="00DF5E8E" w:rsidRPr="003265A3">
        <w:rPr>
          <w:b/>
          <w:lang w:val="en-GB"/>
        </w:rPr>
        <w:t xml:space="preserve"> that start</w:t>
      </w:r>
      <w:r w:rsidR="002A2AF2" w:rsidRPr="003265A3">
        <w:rPr>
          <w:b/>
          <w:lang w:val="en-GB"/>
        </w:rPr>
        <w:t>ed</w:t>
      </w:r>
      <w:r w:rsidR="00DF5E8E" w:rsidRPr="003265A3">
        <w:rPr>
          <w:b/>
          <w:lang w:val="en-GB"/>
        </w:rPr>
        <w:t xml:space="preserve"> the retransmission timer</w:t>
      </w:r>
      <w:r w:rsidRPr="003265A3">
        <w:rPr>
          <w:b/>
          <w:lang w:val="en-GB"/>
        </w:rPr>
        <w:t>.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017C2BD" w14:textId="76A2B3FF" w:rsidR="006E3858" w:rsidRPr="0077190D" w:rsidRDefault="006E3858" w:rsidP="006E3858">
      <w:pPr>
        <w:rPr>
          <w:lang w:val="en-GB"/>
        </w:rPr>
      </w:pPr>
      <w:r w:rsidRPr="0077190D">
        <w:rPr>
          <w:lang w:val="en-GB"/>
        </w:rPr>
        <w:t xml:space="preserve">The length of the DRX cycle is specific to a MAC entity. Similar to LTE, the unit of the short and long DRX cycles can be in the number of </w:t>
      </w:r>
      <w:proofErr w:type="spellStart"/>
      <w:r w:rsidRPr="0077190D">
        <w:rPr>
          <w:lang w:val="en-GB"/>
        </w:rPr>
        <w:t>subframes</w:t>
      </w:r>
      <w:proofErr w:type="spellEnd"/>
      <w:r w:rsidRPr="0077190D">
        <w:rPr>
          <w:lang w:val="en-GB"/>
        </w:rPr>
        <w:t>.</w:t>
      </w:r>
    </w:p>
    <w:p w14:paraId="3A96B483" w14:textId="458EB00F" w:rsidR="006E3858" w:rsidRPr="003265A3" w:rsidRDefault="006E3858" w:rsidP="006E3858">
      <w:pPr>
        <w:pStyle w:val="Recommend-1"/>
        <w:rPr>
          <w:b/>
          <w:lang w:val="en-GB"/>
        </w:rPr>
      </w:pPr>
      <w:bookmarkStart w:id="124" w:name="_Toc481594199"/>
      <w:bookmarkStart w:id="125" w:name="_Toc481772431"/>
      <w:bookmarkStart w:id="126" w:name="_Toc481772607"/>
      <w:bookmarkStart w:id="127" w:name="_Toc481772839"/>
      <w:bookmarkStart w:id="128" w:name="_Toc481784188"/>
      <w:bookmarkStart w:id="129" w:name="_Toc484621495"/>
      <w:bookmarkStart w:id="130" w:name="_Toc485214383"/>
      <w:bookmarkStart w:id="131" w:name="_Toc485216233"/>
      <w:bookmarkStart w:id="132" w:name="_Toc485406515"/>
      <w:bookmarkStart w:id="133" w:name="_Toc485406923"/>
      <w:bookmarkStart w:id="134" w:name="_Toc485410975"/>
      <w:bookmarkStart w:id="135" w:name="_Toc485411002"/>
      <w:r w:rsidRPr="003265A3">
        <w:rPr>
          <w:b/>
          <w:lang w:val="en-GB"/>
        </w:rPr>
        <w:t xml:space="preserve">Unit of short and long DRX cycles is in the number of </w:t>
      </w:r>
      <w:proofErr w:type="spellStart"/>
      <w:r w:rsidRPr="003265A3">
        <w:rPr>
          <w:b/>
          <w:lang w:val="en-GB"/>
        </w:rPr>
        <w:t>subframes</w:t>
      </w:r>
      <w:bookmarkEnd w:id="124"/>
      <w:bookmarkEnd w:id="125"/>
      <w:bookmarkEnd w:id="126"/>
      <w:bookmarkEnd w:id="127"/>
      <w:bookmarkEnd w:id="128"/>
      <w:bookmarkEnd w:id="129"/>
      <w:proofErr w:type="spellEnd"/>
      <w:r w:rsidR="00D1021A" w:rsidRPr="003265A3">
        <w:rPr>
          <w:b/>
          <w:lang w:val="en-GB"/>
        </w:rPr>
        <w:t>.</w:t>
      </w:r>
      <w:bookmarkEnd w:id="130"/>
      <w:bookmarkEnd w:id="131"/>
      <w:bookmarkEnd w:id="132"/>
      <w:bookmarkEnd w:id="133"/>
      <w:bookmarkEnd w:id="134"/>
      <w:bookmarkEnd w:id="135"/>
    </w:p>
    <w:p w14:paraId="3397D773" w14:textId="77777777" w:rsidR="00481568" w:rsidRPr="0077190D" w:rsidRDefault="00481568" w:rsidP="00873ED0">
      <w:pPr>
        <w:rPr>
          <w:lang w:val="en-GB" w:eastAsia="x-none"/>
        </w:rPr>
      </w:pPr>
    </w:p>
    <w:p w14:paraId="2BE9DFA6" w14:textId="77777777" w:rsidR="00EC3224" w:rsidRPr="0077190D" w:rsidRDefault="00EC3224" w:rsidP="00EA3FD8">
      <w:pPr>
        <w:pStyle w:val="Heading1"/>
      </w:pPr>
      <w:bookmarkStart w:id="136" w:name="_Toc465868502"/>
      <w:bookmarkStart w:id="137" w:name="_Toc466027731"/>
      <w:bookmarkStart w:id="138" w:name="_Toc466028398"/>
      <w:bookmarkStart w:id="139" w:name="_Toc465868504"/>
      <w:bookmarkStart w:id="140" w:name="_Toc466027733"/>
      <w:bookmarkStart w:id="141" w:name="_Toc466028400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136"/>
      <w:bookmarkEnd w:id="137"/>
      <w:bookmarkEnd w:id="138"/>
      <w:bookmarkEnd w:id="139"/>
      <w:bookmarkEnd w:id="140"/>
      <w:bookmarkEnd w:id="141"/>
      <w:r w:rsidRPr="0077190D">
        <w:t xml:space="preserve">Conclusion </w:t>
      </w:r>
    </w:p>
    <w:p w14:paraId="4635B31A" w14:textId="77777777" w:rsidR="00EC3224" w:rsidRPr="0077190D" w:rsidRDefault="00EC3224" w:rsidP="00EC3224">
      <w:pPr>
        <w:rPr>
          <w:lang w:val="en-GB" w:eastAsia="x-none"/>
        </w:rPr>
      </w:pPr>
      <w:r w:rsidRPr="0077190D">
        <w:rPr>
          <w:lang w:val="en-GB" w:eastAsia="x-none"/>
        </w:rPr>
        <w:t>Based on the above discussion, we have following observations:</w:t>
      </w:r>
    </w:p>
    <w:p w14:paraId="709590EC" w14:textId="77777777" w:rsidR="00B875EA" w:rsidRDefault="00EC3224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/>
        </w:rPr>
      </w:pPr>
      <w:r w:rsidRPr="0077190D">
        <w:fldChar w:fldCharType="begin"/>
      </w:r>
      <w:r w:rsidRPr="0077190D">
        <w:instrText xml:space="preserve"> TOC \n \t "Observation,1,Observation style,1" </w:instrText>
      </w:r>
      <w:r w:rsidRPr="0077190D">
        <w:fldChar w:fldCharType="separate"/>
      </w:r>
      <w:r w:rsidR="00B875EA" w:rsidRPr="00840915">
        <w:t>Observation 1 A UE is not required to execute multiple DRX configurations at the same time. Instead, the network may switch the DRX configuration of a UE to another DRX configuration based on the requirements of the currently active services.</w:t>
      </w:r>
    </w:p>
    <w:p w14:paraId="34E59E94" w14:textId="77777777" w:rsidR="00B875EA" w:rsidRDefault="00B875E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/>
        </w:rPr>
      </w:pPr>
      <w:r w:rsidRPr="00840915">
        <w:t>Observation 2</w:t>
      </w:r>
      <w:r>
        <w:t xml:space="preserve"> When a new active traffic in a DRB requires a new DRX configuration, use of dedicated RRC signaling may incur additional overhead.</w:t>
      </w:r>
    </w:p>
    <w:p w14:paraId="68015C85" w14:textId="77777777" w:rsidR="00B875EA" w:rsidRDefault="00B875E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/>
        </w:rPr>
      </w:pPr>
      <w:r w:rsidRPr="00840915">
        <w:t>Observation 3</w:t>
      </w:r>
      <w:r>
        <w:t xml:space="preserve"> Lower layer signaling (e.g., MAC CE signaling) can be used for UE to apply a given DRX configuration from a known group of DRX configurations.</w:t>
      </w:r>
    </w:p>
    <w:p w14:paraId="69AAA7C8" w14:textId="65C597D2" w:rsidR="00EC3224" w:rsidRPr="0077190D" w:rsidRDefault="00EC3224" w:rsidP="00EC3224">
      <w:pPr>
        <w:spacing w:line="276" w:lineRule="auto"/>
        <w:rPr>
          <w:noProof/>
          <w:lang w:val="en-GB"/>
        </w:rPr>
      </w:pPr>
      <w:r w:rsidRPr="0077190D">
        <w:rPr>
          <w:b/>
          <w:noProof/>
          <w:lang w:val="en-GB"/>
        </w:rPr>
        <w:lastRenderedPageBreak/>
        <w:fldChar w:fldCharType="end"/>
      </w:r>
      <w:r w:rsidR="00FA6715">
        <w:rPr>
          <w:noProof/>
          <w:lang w:val="en-GB"/>
        </w:rPr>
        <w:t>Based on the</w:t>
      </w:r>
      <w:r w:rsidRPr="0077190D">
        <w:rPr>
          <w:noProof/>
          <w:lang w:val="en-GB"/>
        </w:rPr>
        <w:t xml:space="preserve"> observations and di</w:t>
      </w:r>
      <w:bookmarkStart w:id="142" w:name="_GoBack"/>
      <w:bookmarkEnd w:id="142"/>
      <w:r w:rsidRPr="0077190D">
        <w:rPr>
          <w:noProof/>
          <w:lang w:val="en-GB"/>
        </w:rPr>
        <w:t>scussion, we propose:</w:t>
      </w:r>
    </w:p>
    <w:p w14:paraId="392EAFB3" w14:textId="77777777" w:rsidR="00B875EA" w:rsidRDefault="00EC3224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/>
        </w:rPr>
      </w:pPr>
      <w:r w:rsidRPr="0077190D">
        <w:fldChar w:fldCharType="begin"/>
      </w:r>
      <w:r w:rsidRPr="0077190D">
        <w:instrText xml:space="preserve"> TOC \n \t "Recommend-1,1" </w:instrText>
      </w:r>
      <w:r w:rsidRPr="0077190D">
        <w:fldChar w:fldCharType="separate"/>
      </w:r>
      <w:r w:rsidR="00B875EA" w:rsidRPr="00E162F5">
        <w:t>Proposal 1.</w:t>
      </w:r>
      <w:r w:rsidR="00B875EA">
        <w:rPr>
          <w:rFonts w:asciiTheme="minorHAnsi" w:eastAsiaTheme="minorEastAsia" w:hAnsiTheme="minorHAnsi" w:cstheme="minorBidi"/>
          <w:b w:val="0"/>
          <w:sz w:val="22"/>
          <w:szCs w:val="22"/>
          <w:lang w:val="en-US"/>
        </w:rPr>
        <w:tab/>
      </w:r>
      <w:r w:rsidR="00B875EA" w:rsidRPr="00E162F5">
        <w:t>A UE uses only one DRX configuration at a time.</w:t>
      </w:r>
    </w:p>
    <w:p w14:paraId="4F17299D" w14:textId="77777777" w:rsidR="00B875EA" w:rsidRDefault="00B875E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/>
        </w:rPr>
      </w:pPr>
      <w:r w:rsidRPr="00E162F5">
        <w:t>Proposal 2.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en-US"/>
        </w:rPr>
        <w:tab/>
      </w:r>
      <w:r w:rsidRPr="00E162F5">
        <w:t>Lower layer signaling (e.g., MAC CE signaling) is used for indicating a DRX configuration to be used by a UE if reliability issue can be addressed.</w:t>
      </w:r>
    </w:p>
    <w:p w14:paraId="46A43FBB" w14:textId="77777777" w:rsidR="00B875EA" w:rsidRDefault="00B875E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/>
        </w:rPr>
      </w:pPr>
      <w:r w:rsidRPr="00E162F5">
        <w:t>Proposal 3.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en-US"/>
        </w:rPr>
        <w:tab/>
      </w:r>
      <w:r w:rsidRPr="00E162F5">
        <w:t>The unit of ON duration timer and DRX inactivity timer is in number of PDCCH slots of the reference numerology.</w:t>
      </w:r>
    </w:p>
    <w:p w14:paraId="262DBEA7" w14:textId="77777777" w:rsidR="00B875EA" w:rsidRDefault="00B875E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/>
        </w:rPr>
      </w:pPr>
      <w:r w:rsidRPr="00E162F5">
        <w:t>Proposal 4.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en-US"/>
        </w:rPr>
        <w:tab/>
      </w:r>
      <w:r w:rsidRPr="00E162F5">
        <w:t>Unit of DRX retransmission timers is in the number of the TTI length of the TB that started the retransmission timer.</w:t>
      </w:r>
    </w:p>
    <w:p w14:paraId="43F7DEB7" w14:textId="77777777" w:rsidR="00B875EA" w:rsidRDefault="00B875E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/>
        </w:rPr>
      </w:pPr>
      <w:r w:rsidRPr="00E162F5">
        <w:t>Proposal 5.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en-US"/>
        </w:rPr>
        <w:tab/>
      </w:r>
      <w:r w:rsidRPr="00E162F5">
        <w:t>Unit of short and long DRX cycles is in the number of subframes.</w:t>
      </w:r>
    </w:p>
    <w:p w14:paraId="674F6730" w14:textId="0539F263" w:rsidR="00EC3224" w:rsidRPr="0077190D" w:rsidRDefault="00EC3224" w:rsidP="003010EA">
      <w:pPr>
        <w:pStyle w:val="TOC1"/>
        <w:rPr>
          <w:rFonts w:hint="eastAsia"/>
        </w:rPr>
      </w:pPr>
      <w:r w:rsidRPr="0077190D">
        <w:fldChar w:fldCharType="end"/>
      </w:r>
    </w:p>
    <w:p w14:paraId="6C36882F" w14:textId="77777777" w:rsidR="00EC3224" w:rsidRPr="0077190D" w:rsidRDefault="00EC3224" w:rsidP="00EA3FD8">
      <w:pPr>
        <w:pStyle w:val="Heading1"/>
      </w:pPr>
      <w:r w:rsidRPr="0077190D">
        <w:t xml:space="preserve">References </w:t>
      </w:r>
    </w:p>
    <w:p w14:paraId="0313548F" w14:textId="7AA46D05" w:rsidR="00EC3224" w:rsidRPr="0077190D" w:rsidRDefault="00EC3224" w:rsidP="00EC3224">
      <w:pPr>
        <w:pStyle w:val="NormalWeb"/>
      </w:pPr>
      <w:r w:rsidRPr="0077190D">
        <w:t>[1] Draf</w:t>
      </w:r>
      <w:r w:rsidR="00016AA4" w:rsidRPr="0077190D">
        <w:t>t Report of 3GPP TSG RAN WG2 #97</w:t>
      </w:r>
      <w:r w:rsidRPr="0077190D">
        <w:t xml:space="preserve">bis, </w:t>
      </w:r>
      <w:r w:rsidR="00016AA4" w:rsidRPr="0077190D">
        <w:t>Spokane, USA</w:t>
      </w:r>
      <w:r w:rsidRPr="0077190D">
        <w:t xml:space="preserve">, </w:t>
      </w:r>
      <w:r w:rsidR="00016AA4" w:rsidRPr="0077190D">
        <w:t>April 4</w:t>
      </w:r>
      <w:r w:rsidR="00016AA4" w:rsidRPr="0077190D">
        <w:rPr>
          <w:vertAlign w:val="superscript"/>
        </w:rPr>
        <w:t>th</w:t>
      </w:r>
      <w:r w:rsidR="00016AA4" w:rsidRPr="0077190D">
        <w:t xml:space="preserve"> – 7</w:t>
      </w:r>
      <w:r w:rsidR="00016AA4" w:rsidRPr="0077190D">
        <w:rPr>
          <w:vertAlign w:val="superscript"/>
        </w:rPr>
        <w:t>th</w:t>
      </w:r>
      <w:r w:rsidR="00016AA4" w:rsidRPr="0077190D">
        <w:t>, 2017</w:t>
      </w:r>
      <w:r w:rsidRPr="0077190D">
        <w:t xml:space="preserve">. </w:t>
      </w:r>
    </w:p>
    <w:p w14:paraId="0E2C4FEF" w14:textId="7B50E65E" w:rsidR="00B145C0" w:rsidRPr="0077190D" w:rsidRDefault="009572CD" w:rsidP="00EC3224">
      <w:pPr>
        <w:pStyle w:val="NormalWeb"/>
      </w:pPr>
      <w:r w:rsidRPr="0077190D">
        <w:t>[2</w:t>
      </w:r>
      <w:r w:rsidR="00B145C0" w:rsidRPr="0077190D">
        <w:t>] Draft Report of 3GPP TSG RAN WG2 #68, Jehu, Korea, November 9</w:t>
      </w:r>
      <w:r w:rsidR="00B145C0" w:rsidRPr="0077190D">
        <w:rPr>
          <w:vertAlign w:val="superscript"/>
        </w:rPr>
        <w:t>th</w:t>
      </w:r>
      <w:r w:rsidR="00B145C0" w:rsidRPr="0077190D">
        <w:t xml:space="preserve"> – 13</w:t>
      </w:r>
      <w:r w:rsidR="00B145C0" w:rsidRPr="0077190D">
        <w:rPr>
          <w:vertAlign w:val="superscript"/>
        </w:rPr>
        <w:t>th</w:t>
      </w:r>
      <w:r w:rsidR="00B145C0" w:rsidRPr="0077190D">
        <w:t xml:space="preserve">, 2009. </w:t>
      </w:r>
    </w:p>
    <w:p w14:paraId="5D54A392" w14:textId="77777777" w:rsidR="009572CD" w:rsidRDefault="009572CD" w:rsidP="00EC3224">
      <w:pPr>
        <w:pStyle w:val="NormalWeb"/>
      </w:pPr>
    </w:p>
    <w:sectPr w:rsidR="009572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0E46"/>
    <w:multiLevelType w:val="hybridMultilevel"/>
    <w:tmpl w:val="E24AC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637D8"/>
    <w:multiLevelType w:val="hybridMultilevel"/>
    <w:tmpl w:val="2D00A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60E5A"/>
    <w:multiLevelType w:val="hybridMultilevel"/>
    <w:tmpl w:val="DA5C9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34AA9"/>
    <w:multiLevelType w:val="hybridMultilevel"/>
    <w:tmpl w:val="DDCEE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C282E"/>
    <w:multiLevelType w:val="hybridMultilevel"/>
    <w:tmpl w:val="6C6AB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D56E8"/>
    <w:multiLevelType w:val="hybridMultilevel"/>
    <w:tmpl w:val="696A9016"/>
    <w:lvl w:ilvl="0" w:tplc="CFE286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5829420">
      <w:start w:val="10"/>
      <w:numFmt w:val="bullet"/>
      <w:lvlText w:val="-"/>
      <w:lvlJc w:val="left"/>
      <w:pPr>
        <w:ind w:left="1890" w:hanging="360"/>
      </w:pPr>
      <w:rPr>
        <w:rFonts w:ascii="Calibri" w:eastAsia="SimSun" w:hAnsi="Calibri" w:cs="Calibri" w:hint="default"/>
        <w:lang w:val="en-US"/>
      </w:rPr>
    </w:lvl>
    <w:lvl w:ilvl="2" w:tplc="7C0672DE">
      <w:start w:val="10"/>
      <w:numFmt w:val="bullet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 w:tplc="32A65D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AEC118">
      <w:start w:val="5"/>
      <w:numFmt w:val="bullet"/>
      <w:lvlText w:val=""/>
      <w:lvlJc w:val="left"/>
      <w:pPr>
        <w:ind w:left="4680" w:hanging="720"/>
      </w:pPr>
      <w:rPr>
        <w:rFonts w:ascii="Wingdings" w:eastAsia="Times New Roman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04129"/>
    <w:multiLevelType w:val="hybridMultilevel"/>
    <w:tmpl w:val="80920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238F2"/>
    <w:multiLevelType w:val="hybridMultilevel"/>
    <w:tmpl w:val="EE469AD8"/>
    <w:lvl w:ilvl="0" w:tplc="A7829E36">
      <w:start w:val="1"/>
      <w:numFmt w:val="decimal"/>
      <w:lvlText w:val="%1."/>
      <w:lvlJc w:val="left"/>
      <w:pPr>
        <w:ind w:left="161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00A3ACB"/>
    <w:multiLevelType w:val="hybridMultilevel"/>
    <w:tmpl w:val="6326354A"/>
    <w:lvl w:ilvl="0" w:tplc="64EAECB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F69B5"/>
    <w:multiLevelType w:val="hybridMultilevel"/>
    <w:tmpl w:val="067AD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E4440"/>
    <w:multiLevelType w:val="hybridMultilevel"/>
    <w:tmpl w:val="F2E25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47301"/>
    <w:multiLevelType w:val="multilevel"/>
    <w:tmpl w:val="03F66B0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66" w:hanging="576"/>
      </w:pPr>
    </w:lvl>
    <w:lvl w:ilvl="2">
      <w:start w:val="1"/>
      <w:numFmt w:val="decimal"/>
      <w:pStyle w:val="Heading3"/>
      <w:lvlText w:val="%1.%2.%3"/>
      <w:lvlJc w:val="left"/>
      <w:pPr>
        <w:ind w:left="28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95A793B"/>
    <w:multiLevelType w:val="hybridMultilevel"/>
    <w:tmpl w:val="330EF12A"/>
    <w:lvl w:ilvl="0" w:tplc="75829420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783210"/>
    <w:multiLevelType w:val="multilevel"/>
    <w:tmpl w:val="CBC26370"/>
    <w:lvl w:ilvl="0">
      <w:start w:val="1"/>
      <w:numFmt w:val="decimal"/>
      <w:pStyle w:val="Observationstyle"/>
      <w:suff w:val="space"/>
      <w:lvlText w:val="Observation %1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3E963C69"/>
    <w:multiLevelType w:val="hybridMultilevel"/>
    <w:tmpl w:val="E0083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95E5F"/>
    <w:multiLevelType w:val="hybridMultilevel"/>
    <w:tmpl w:val="792C1978"/>
    <w:lvl w:ilvl="0" w:tplc="FBF8ECBE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D76ACB"/>
    <w:multiLevelType w:val="hybridMultilevel"/>
    <w:tmpl w:val="47061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B31B2"/>
    <w:multiLevelType w:val="hybridMultilevel"/>
    <w:tmpl w:val="368E6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777098"/>
    <w:multiLevelType w:val="hybridMultilevel"/>
    <w:tmpl w:val="90B29BB0"/>
    <w:lvl w:ilvl="0" w:tplc="8BB06D7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87017"/>
    <w:multiLevelType w:val="hybridMultilevel"/>
    <w:tmpl w:val="C0A4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56F52"/>
    <w:multiLevelType w:val="hybridMultilevel"/>
    <w:tmpl w:val="A87E74DC"/>
    <w:lvl w:ilvl="0" w:tplc="FBF8ECBE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11"/>
  </w:num>
  <w:num w:numId="2">
    <w:abstractNumId w:val="21"/>
  </w:num>
  <w:num w:numId="3">
    <w:abstractNumId w:val="13"/>
  </w:num>
  <w:num w:numId="4">
    <w:abstractNumId w:val="5"/>
  </w:num>
  <w:num w:numId="5">
    <w:abstractNumId w:val="20"/>
  </w:num>
  <w:num w:numId="6">
    <w:abstractNumId w:val="15"/>
  </w:num>
  <w:num w:numId="7">
    <w:abstractNumId w:val="19"/>
  </w:num>
  <w:num w:numId="8">
    <w:abstractNumId w:val="18"/>
  </w:num>
  <w:num w:numId="9">
    <w:abstractNumId w:val="8"/>
  </w:num>
  <w:num w:numId="10">
    <w:abstractNumId w:val="9"/>
  </w:num>
  <w:num w:numId="11">
    <w:abstractNumId w:val="4"/>
  </w:num>
  <w:num w:numId="12">
    <w:abstractNumId w:val="0"/>
  </w:num>
  <w:num w:numId="13">
    <w:abstractNumId w:val="10"/>
  </w:num>
  <w:num w:numId="14">
    <w:abstractNumId w:val="14"/>
  </w:num>
  <w:num w:numId="15">
    <w:abstractNumId w:val="16"/>
  </w:num>
  <w:num w:numId="16">
    <w:abstractNumId w:val="12"/>
  </w:num>
  <w:num w:numId="17">
    <w:abstractNumId w:val="1"/>
  </w:num>
  <w:num w:numId="18">
    <w:abstractNumId w:val="2"/>
  </w:num>
  <w:num w:numId="19">
    <w:abstractNumId w:val="17"/>
  </w:num>
  <w:num w:numId="20">
    <w:abstractNumId w:val="7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70F"/>
    <w:rsid w:val="00007A33"/>
    <w:rsid w:val="000132E6"/>
    <w:rsid w:val="00016AA4"/>
    <w:rsid w:val="0003614F"/>
    <w:rsid w:val="00040FEE"/>
    <w:rsid w:val="00053B6C"/>
    <w:rsid w:val="00060CB9"/>
    <w:rsid w:val="000777AA"/>
    <w:rsid w:val="0008410A"/>
    <w:rsid w:val="00086DF8"/>
    <w:rsid w:val="00090CBF"/>
    <w:rsid w:val="00092F50"/>
    <w:rsid w:val="000A55D8"/>
    <w:rsid w:val="000B6BDA"/>
    <w:rsid w:val="000E1747"/>
    <w:rsid w:val="000F1F20"/>
    <w:rsid w:val="000F42B9"/>
    <w:rsid w:val="000F6059"/>
    <w:rsid w:val="00115345"/>
    <w:rsid w:val="0012639D"/>
    <w:rsid w:val="0013250E"/>
    <w:rsid w:val="00132EA7"/>
    <w:rsid w:val="00134C2B"/>
    <w:rsid w:val="0014229E"/>
    <w:rsid w:val="00150773"/>
    <w:rsid w:val="00151E25"/>
    <w:rsid w:val="001601CE"/>
    <w:rsid w:val="00173BC0"/>
    <w:rsid w:val="00185796"/>
    <w:rsid w:val="00186471"/>
    <w:rsid w:val="00187B2E"/>
    <w:rsid w:val="00195408"/>
    <w:rsid w:val="001A0D01"/>
    <w:rsid w:val="001A1402"/>
    <w:rsid w:val="001A7BAA"/>
    <w:rsid w:val="001B546B"/>
    <w:rsid w:val="001C20BB"/>
    <w:rsid w:val="001E50E3"/>
    <w:rsid w:val="001F0BD2"/>
    <w:rsid w:val="00205029"/>
    <w:rsid w:val="00206E2A"/>
    <w:rsid w:val="00222F9D"/>
    <w:rsid w:val="002243A7"/>
    <w:rsid w:val="0022448F"/>
    <w:rsid w:val="00226E97"/>
    <w:rsid w:val="00227E21"/>
    <w:rsid w:val="00236CEA"/>
    <w:rsid w:val="00245F07"/>
    <w:rsid w:val="00256160"/>
    <w:rsid w:val="002669BE"/>
    <w:rsid w:val="00267101"/>
    <w:rsid w:val="00282E73"/>
    <w:rsid w:val="00283641"/>
    <w:rsid w:val="002A0D67"/>
    <w:rsid w:val="002A2AF2"/>
    <w:rsid w:val="002A7F4B"/>
    <w:rsid w:val="002D07F8"/>
    <w:rsid w:val="002D7F6B"/>
    <w:rsid w:val="002E125B"/>
    <w:rsid w:val="002F51C7"/>
    <w:rsid w:val="003010EA"/>
    <w:rsid w:val="00302AE8"/>
    <w:rsid w:val="003152A0"/>
    <w:rsid w:val="00325BAE"/>
    <w:rsid w:val="003265A3"/>
    <w:rsid w:val="00332F82"/>
    <w:rsid w:val="003463F8"/>
    <w:rsid w:val="0034706F"/>
    <w:rsid w:val="00374681"/>
    <w:rsid w:val="00381705"/>
    <w:rsid w:val="003861CC"/>
    <w:rsid w:val="00390A9C"/>
    <w:rsid w:val="0039518A"/>
    <w:rsid w:val="003A02AE"/>
    <w:rsid w:val="003A5035"/>
    <w:rsid w:val="003B1349"/>
    <w:rsid w:val="003B7168"/>
    <w:rsid w:val="003C2902"/>
    <w:rsid w:val="003C2ECA"/>
    <w:rsid w:val="003D57A0"/>
    <w:rsid w:val="003E1747"/>
    <w:rsid w:val="003E389C"/>
    <w:rsid w:val="003E5731"/>
    <w:rsid w:val="0040158C"/>
    <w:rsid w:val="00411685"/>
    <w:rsid w:val="0041666B"/>
    <w:rsid w:val="004255DA"/>
    <w:rsid w:val="00443720"/>
    <w:rsid w:val="00447542"/>
    <w:rsid w:val="0046109F"/>
    <w:rsid w:val="00463E32"/>
    <w:rsid w:val="00466241"/>
    <w:rsid w:val="00466C51"/>
    <w:rsid w:val="00467B72"/>
    <w:rsid w:val="00481568"/>
    <w:rsid w:val="004862D4"/>
    <w:rsid w:val="00487647"/>
    <w:rsid w:val="00490E73"/>
    <w:rsid w:val="004A7CBF"/>
    <w:rsid w:val="004B30BB"/>
    <w:rsid w:val="004B3CA2"/>
    <w:rsid w:val="004B66E8"/>
    <w:rsid w:val="004C43A1"/>
    <w:rsid w:val="004C6DF7"/>
    <w:rsid w:val="004C6F93"/>
    <w:rsid w:val="004C793A"/>
    <w:rsid w:val="004D3589"/>
    <w:rsid w:val="004E1611"/>
    <w:rsid w:val="004F7610"/>
    <w:rsid w:val="00522F97"/>
    <w:rsid w:val="00524D42"/>
    <w:rsid w:val="00532F3F"/>
    <w:rsid w:val="005345D2"/>
    <w:rsid w:val="005347DA"/>
    <w:rsid w:val="00560287"/>
    <w:rsid w:val="0056048B"/>
    <w:rsid w:val="00566D22"/>
    <w:rsid w:val="00577AA3"/>
    <w:rsid w:val="005A4AC1"/>
    <w:rsid w:val="005C405B"/>
    <w:rsid w:val="005C7AD9"/>
    <w:rsid w:val="005E0CC0"/>
    <w:rsid w:val="005E1EC9"/>
    <w:rsid w:val="005E4BE4"/>
    <w:rsid w:val="005F61D3"/>
    <w:rsid w:val="006018F3"/>
    <w:rsid w:val="006174EA"/>
    <w:rsid w:val="00636BBD"/>
    <w:rsid w:val="00644797"/>
    <w:rsid w:val="00661B0A"/>
    <w:rsid w:val="006739ED"/>
    <w:rsid w:val="00673F1E"/>
    <w:rsid w:val="00676508"/>
    <w:rsid w:val="00693086"/>
    <w:rsid w:val="006947B3"/>
    <w:rsid w:val="006A18AB"/>
    <w:rsid w:val="006A6989"/>
    <w:rsid w:val="006A7B10"/>
    <w:rsid w:val="006E3858"/>
    <w:rsid w:val="006E55F7"/>
    <w:rsid w:val="006E59EA"/>
    <w:rsid w:val="007001D4"/>
    <w:rsid w:val="0070187C"/>
    <w:rsid w:val="00706E30"/>
    <w:rsid w:val="0072721E"/>
    <w:rsid w:val="00730E4E"/>
    <w:rsid w:val="00744C91"/>
    <w:rsid w:val="00760C26"/>
    <w:rsid w:val="00767EA6"/>
    <w:rsid w:val="0077190D"/>
    <w:rsid w:val="007904A4"/>
    <w:rsid w:val="0079669D"/>
    <w:rsid w:val="007A2C88"/>
    <w:rsid w:val="007A60DB"/>
    <w:rsid w:val="007A7CD1"/>
    <w:rsid w:val="007B14BD"/>
    <w:rsid w:val="007C11A3"/>
    <w:rsid w:val="007C3219"/>
    <w:rsid w:val="007C5683"/>
    <w:rsid w:val="007D0373"/>
    <w:rsid w:val="007D6A55"/>
    <w:rsid w:val="007F231B"/>
    <w:rsid w:val="007F5434"/>
    <w:rsid w:val="008209DF"/>
    <w:rsid w:val="00821684"/>
    <w:rsid w:val="00822E6C"/>
    <w:rsid w:val="00826523"/>
    <w:rsid w:val="0083499D"/>
    <w:rsid w:val="00837A5B"/>
    <w:rsid w:val="00841DC5"/>
    <w:rsid w:val="008511D6"/>
    <w:rsid w:val="00864BFE"/>
    <w:rsid w:val="00867F78"/>
    <w:rsid w:val="00873ED0"/>
    <w:rsid w:val="00894823"/>
    <w:rsid w:val="008A29BF"/>
    <w:rsid w:val="008A2B40"/>
    <w:rsid w:val="008B008A"/>
    <w:rsid w:val="008B0C5C"/>
    <w:rsid w:val="008B166A"/>
    <w:rsid w:val="008B4B01"/>
    <w:rsid w:val="008B68C6"/>
    <w:rsid w:val="008C208A"/>
    <w:rsid w:val="008F0C46"/>
    <w:rsid w:val="009077C4"/>
    <w:rsid w:val="00912200"/>
    <w:rsid w:val="00942659"/>
    <w:rsid w:val="009572CD"/>
    <w:rsid w:val="00974834"/>
    <w:rsid w:val="00975D81"/>
    <w:rsid w:val="009940E8"/>
    <w:rsid w:val="009A0F9D"/>
    <w:rsid w:val="009B618E"/>
    <w:rsid w:val="009E60B5"/>
    <w:rsid w:val="009F4402"/>
    <w:rsid w:val="009F4E5F"/>
    <w:rsid w:val="00A0309B"/>
    <w:rsid w:val="00A05895"/>
    <w:rsid w:val="00A143D3"/>
    <w:rsid w:val="00A147C8"/>
    <w:rsid w:val="00A22257"/>
    <w:rsid w:val="00A23091"/>
    <w:rsid w:val="00A25B94"/>
    <w:rsid w:val="00A310F8"/>
    <w:rsid w:val="00A360CE"/>
    <w:rsid w:val="00A4670F"/>
    <w:rsid w:val="00AA14C5"/>
    <w:rsid w:val="00AB21FB"/>
    <w:rsid w:val="00AB2831"/>
    <w:rsid w:val="00AC12CD"/>
    <w:rsid w:val="00AF1872"/>
    <w:rsid w:val="00B11EB7"/>
    <w:rsid w:val="00B1362B"/>
    <w:rsid w:val="00B145C0"/>
    <w:rsid w:val="00B2143A"/>
    <w:rsid w:val="00B249CE"/>
    <w:rsid w:val="00B35DEB"/>
    <w:rsid w:val="00B43927"/>
    <w:rsid w:val="00B44716"/>
    <w:rsid w:val="00B5120D"/>
    <w:rsid w:val="00B560FB"/>
    <w:rsid w:val="00B56792"/>
    <w:rsid w:val="00B74CE7"/>
    <w:rsid w:val="00B77B56"/>
    <w:rsid w:val="00B86797"/>
    <w:rsid w:val="00B875EA"/>
    <w:rsid w:val="00B96D8C"/>
    <w:rsid w:val="00B970F9"/>
    <w:rsid w:val="00BF384A"/>
    <w:rsid w:val="00C04C96"/>
    <w:rsid w:val="00C1384F"/>
    <w:rsid w:val="00C25E65"/>
    <w:rsid w:val="00C46271"/>
    <w:rsid w:val="00C503CA"/>
    <w:rsid w:val="00C54B87"/>
    <w:rsid w:val="00C90D6F"/>
    <w:rsid w:val="00C96983"/>
    <w:rsid w:val="00C97308"/>
    <w:rsid w:val="00CA1ABF"/>
    <w:rsid w:val="00CA1B6E"/>
    <w:rsid w:val="00CB5CFC"/>
    <w:rsid w:val="00CC4719"/>
    <w:rsid w:val="00CD4664"/>
    <w:rsid w:val="00CE071B"/>
    <w:rsid w:val="00D008A9"/>
    <w:rsid w:val="00D1021A"/>
    <w:rsid w:val="00D134CB"/>
    <w:rsid w:val="00D14A88"/>
    <w:rsid w:val="00D22534"/>
    <w:rsid w:val="00D375AF"/>
    <w:rsid w:val="00D42257"/>
    <w:rsid w:val="00D42EE8"/>
    <w:rsid w:val="00D46F84"/>
    <w:rsid w:val="00D4729F"/>
    <w:rsid w:val="00D51629"/>
    <w:rsid w:val="00D55D34"/>
    <w:rsid w:val="00D626D1"/>
    <w:rsid w:val="00D6322E"/>
    <w:rsid w:val="00D70680"/>
    <w:rsid w:val="00D717AB"/>
    <w:rsid w:val="00D77607"/>
    <w:rsid w:val="00D86F7A"/>
    <w:rsid w:val="00D9090D"/>
    <w:rsid w:val="00D91801"/>
    <w:rsid w:val="00DA314C"/>
    <w:rsid w:val="00DA4AEE"/>
    <w:rsid w:val="00DA77AD"/>
    <w:rsid w:val="00DB152D"/>
    <w:rsid w:val="00DB1AC6"/>
    <w:rsid w:val="00DB20D0"/>
    <w:rsid w:val="00DB7C78"/>
    <w:rsid w:val="00DC1CD2"/>
    <w:rsid w:val="00DC277A"/>
    <w:rsid w:val="00DC5047"/>
    <w:rsid w:val="00DC58D1"/>
    <w:rsid w:val="00DC5FF1"/>
    <w:rsid w:val="00DD28D1"/>
    <w:rsid w:val="00DE0BC9"/>
    <w:rsid w:val="00DE63EB"/>
    <w:rsid w:val="00DF24A9"/>
    <w:rsid w:val="00DF282A"/>
    <w:rsid w:val="00DF5E8E"/>
    <w:rsid w:val="00E45ED1"/>
    <w:rsid w:val="00E47C6E"/>
    <w:rsid w:val="00E50713"/>
    <w:rsid w:val="00E53F56"/>
    <w:rsid w:val="00E55E76"/>
    <w:rsid w:val="00E56F2D"/>
    <w:rsid w:val="00E61BB1"/>
    <w:rsid w:val="00E977A5"/>
    <w:rsid w:val="00EA3FD8"/>
    <w:rsid w:val="00EB16EC"/>
    <w:rsid w:val="00EB19BC"/>
    <w:rsid w:val="00EB7ECC"/>
    <w:rsid w:val="00EC3224"/>
    <w:rsid w:val="00ED7378"/>
    <w:rsid w:val="00EE409F"/>
    <w:rsid w:val="00EE4643"/>
    <w:rsid w:val="00EE71AB"/>
    <w:rsid w:val="00EF60FD"/>
    <w:rsid w:val="00F1064D"/>
    <w:rsid w:val="00F10FA5"/>
    <w:rsid w:val="00F16C86"/>
    <w:rsid w:val="00F17B51"/>
    <w:rsid w:val="00F42860"/>
    <w:rsid w:val="00F5470F"/>
    <w:rsid w:val="00F555BE"/>
    <w:rsid w:val="00F55657"/>
    <w:rsid w:val="00F73BA4"/>
    <w:rsid w:val="00F8236E"/>
    <w:rsid w:val="00F9014E"/>
    <w:rsid w:val="00F9274D"/>
    <w:rsid w:val="00FA0D2D"/>
    <w:rsid w:val="00FA422A"/>
    <w:rsid w:val="00FA6715"/>
    <w:rsid w:val="00FA6BF8"/>
    <w:rsid w:val="00FA795A"/>
    <w:rsid w:val="00FF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BD175"/>
  <w15:docId w15:val="{B76193F1-62E2-4A80-9FF6-4BB5F741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22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hAnsi="Times New Roman" w:cs="Times New Roman"/>
      <w:sz w:val="20"/>
      <w:szCs w:val="20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0F42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I2,Section Title,Heading2,list2,H2-Heading 2,Header2,22"/>
    <w:basedOn w:val="Heading1"/>
    <w:next w:val="Normal"/>
    <w:link w:val="Heading2Char"/>
    <w:unhideWhenUsed/>
    <w:qFormat/>
    <w:rsid w:val="00EC3224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C322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C3224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C3224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3224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3224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3224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3224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F42B9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basedOn w:val="DefaultParagraphFont"/>
    <w:link w:val="Heading2"/>
    <w:rsid w:val="00EC3224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EC3224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EC322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EC3224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3224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322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322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3224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EC322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C3224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C322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Recommend-1">
    <w:name w:val="Recommend-1"/>
    <w:basedOn w:val="Normal"/>
    <w:link w:val="Recommend-1Char"/>
    <w:qFormat/>
    <w:rsid w:val="00EC3224"/>
    <w:pPr>
      <w:numPr>
        <w:numId w:val="2"/>
      </w:numPr>
      <w:jc w:val="both"/>
    </w:pPr>
    <w:rPr>
      <w:lang w:eastAsia="x-none"/>
    </w:rPr>
  </w:style>
  <w:style w:type="character" w:customStyle="1" w:styleId="Recommend-1Char">
    <w:name w:val="Recommend-1 Char"/>
    <w:link w:val="Recommend-1"/>
    <w:rsid w:val="00EC3224"/>
    <w:rPr>
      <w:rFonts w:ascii="Times New Roman" w:eastAsia="SimSun" w:hAnsi="Times New Roman" w:cs="Times New Roman"/>
      <w:sz w:val="20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EC3224"/>
    <w:pPr>
      <w:ind w:left="720"/>
      <w:contextualSpacing/>
    </w:pPr>
  </w:style>
  <w:style w:type="paragraph" w:customStyle="1" w:styleId="Normalstyle">
    <w:name w:val="Normal style"/>
    <w:basedOn w:val="Normal"/>
    <w:link w:val="NormalstyleChar"/>
    <w:qFormat/>
    <w:rsid w:val="00EC3224"/>
    <w:rPr>
      <w:rFonts w:ascii="Arial" w:hAnsi="Arial" w:cs="Arial"/>
      <w:lang w:val="en-GB"/>
    </w:rPr>
  </w:style>
  <w:style w:type="character" w:customStyle="1" w:styleId="NormalstyleChar">
    <w:name w:val="Normal style Char"/>
    <w:link w:val="Normalstyle"/>
    <w:rsid w:val="00EC3224"/>
    <w:rPr>
      <w:rFonts w:ascii="Arial" w:eastAsia="SimSun" w:hAnsi="Arial" w:cs="Arial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C32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302AE8"/>
    <w:pPr>
      <w:tabs>
        <w:tab w:val="left" w:pos="990"/>
        <w:tab w:val="right" w:leader="dot" w:pos="9350"/>
      </w:tabs>
      <w:spacing w:after="100"/>
    </w:pPr>
    <w:rPr>
      <w:rFonts w:ascii="Times New Roman Bold" w:hAnsi="Times New Roman Bold"/>
      <w:b/>
      <w:noProof/>
      <w:lang w:val="en-GB"/>
    </w:rPr>
  </w:style>
  <w:style w:type="paragraph" w:customStyle="1" w:styleId="Doc-text2">
    <w:name w:val="Doc-text2"/>
    <w:basedOn w:val="Normal"/>
    <w:link w:val="Doc-text2Char"/>
    <w:qFormat/>
    <w:rsid w:val="00EC3224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EC3224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Observationstyle">
    <w:name w:val="Observation style"/>
    <w:basedOn w:val="Normal"/>
    <w:link w:val="ObservationstyleChar"/>
    <w:autoRedefine/>
    <w:qFormat/>
    <w:rsid w:val="00E977A5"/>
    <w:pPr>
      <w:numPr>
        <w:numId w:val="3"/>
      </w:numPr>
      <w:jc w:val="both"/>
    </w:pPr>
    <w:rPr>
      <w:b/>
      <w:lang w:eastAsia="x-none"/>
    </w:rPr>
  </w:style>
  <w:style w:type="character" w:customStyle="1" w:styleId="ObservationstyleChar">
    <w:name w:val="Observation style Char"/>
    <w:link w:val="Observationstyle"/>
    <w:rsid w:val="00E977A5"/>
    <w:rPr>
      <w:rFonts w:ascii="Times New Roman" w:hAnsi="Times New Roman" w:cs="Times New Roman"/>
      <w:b/>
      <w:sz w:val="20"/>
      <w:szCs w:val="20"/>
      <w:lang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55D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5D34"/>
  </w:style>
  <w:style w:type="character" w:customStyle="1" w:styleId="CommentTextChar">
    <w:name w:val="Comment Text Char"/>
    <w:basedOn w:val="DefaultParagraphFont"/>
    <w:link w:val="CommentText"/>
    <w:uiPriority w:val="99"/>
    <w:rsid w:val="00D55D34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D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5D34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D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D34"/>
    <w:rPr>
      <w:rFonts w:ascii="Segoe UI" w:eastAsia="SimSu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F42B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7A6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F24A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>Shrestha, Bharat</DisplayName>
        <AccountId>3308</AccountId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1C9D7-7BE8-4F6A-8757-2016870BB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BD446F-C6A6-4089-98A6-AC8874C237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08380-E8EC-4BDC-9068-F12ED0C943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4DD394D-45D4-43C4-B26D-EFB41F582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CTPClassification=CTP_IC:VisualMarkings=</cp:keywords>
  <dc:description/>
  <cp:lastModifiedBy>Intel-Bharat</cp:lastModifiedBy>
  <cp:revision>6</cp:revision>
  <dcterms:created xsi:type="dcterms:W3CDTF">2017-06-17T02:59:00Z</dcterms:created>
  <dcterms:modified xsi:type="dcterms:W3CDTF">2017-06-17T04:14:00Z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0x01010058DDEB47312E4967BFC1576B96E8C3D40039B5EFFB71B84E46BCEF74BDDA92E4BD</vt:lpwstr>
  </property>
  <property fmtid="{D5CDD505-2E9C-101B-9397-08002B2CF9AE}" pid="3" name="TitusGUID">
    <vt:lpwstr>7860579d-7fc6-4596-8785-b632554c6a21</vt:lpwstr>
  </property>
  <property fmtid="{D5CDD505-2E9C-101B-9397-08002B2CF9AE}" pid="4" name="CTP_BU">
    <vt:lpwstr>NEXT GEN AND STANDARDS GROUP</vt:lpwstr>
  </property>
  <property fmtid="{D5CDD505-2E9C-101B-9397-08002B2CF9AE}" pid="5" name="CTP_TimeStamp">
    <vt:lpwstr>2017-02-03 15:12:44Z</vt:lpwstr>
  </property>
  <property fmtid="{D5CDD505-2E9C-101B-9397-08002B2CF9AE}" pid="6" name="CTPClassification">
    <vt:lpwstr>CTP_IC</vt:lpwstr>
  </property>
</Properties>
</file>